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9" w:type="dxa"/>
        <w:jc w:val="right"/>
        <w:tblLook w:val="01E0"/>
      </w:tblPr>
      <w:tblGrid>
        <w:gridCol w:w="2855"/>
        <w:gridCol w:w="3934"/>
      </w:tblGrid>
      <w:tr w:rsidR="00253309" w:rsidRPr="0036787A" w:rsidTr="00250285">
        <w:trPr>
          <w:jc w:val="right"/>
        </w:trPr>
        <w:tc>
          <w:tcPr>
            <w:tcW w:w="2855" w:type="dxa"/>
            <w:shd w:val="clear" w:color="auto" w:fill="auto"/>
          </w:tcPr>
          <w:p w:rsidR="00253309" w:rsidRPr="0036787A" w:rsidRDefault="00253309" w:rsidP="00250285">
            <w:pPr>
              <w:autoSpaceDE w:val="0"/>
              <w:autoSpaceDN w:val="0"/>
              <w:adjustRightInd w:val="0"/>
              <w:ind w:right="140"/>
              <w:jc w:val="center"/>
              <w:rPr>
                <w:sz w:val="26"/>
                <w:szCs w:val="26"/>
                <w:highlight w:val="yellow"/>
              </w:rPr>
            </w:pPr>
            <w:r w:rsidRPr="0036787A">
              <w:rPr>
                <w:sz w:val="26"/>
                <w:szCs w:val="26"/>
                <w:highlight w:val="yellow"/>
              </w:rPr>
              <w:t xml:space="preserve">                                             </w:t>
            </w:r>
          </w:p>
        </w:tc>
        <w:tc>
          <w:tcPr>
            <w:tcW w:w="3934" w:type="dxa"/>
            <w:shd w:val="clear" w:color="auto" w:fill="auto"/>
          </w:tcPr>
          <w:p w:rsidR="00253309" w:rsidRPr="00935402" w:rsidRDefault="00253309" w:rsidP="0025028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35402">
              <w:rPr>
                <w:sz w:val="26"/>
                <w:szCs w:val="26"/>
              </w:rPr>
              <w:t xml:space="preserve"> Приложение № 1</w:t>
            </w:r>
          </w:p>
          <w:p w:rsidR="00253309" w:rsidRPr="00935402" w:rsidRDefault="00253309" w:rsidP="0025028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35402">
              <w:rPr>
                <w:sz w:val="26"/>
                <w:szCs w:val="26"/>
              </w:rPr>
              <w:t>к приказу министерства конк</w:t>
            </w:r>
            <w:r w:rsidRPr="00935402">
              <w:rPr>
                <w:sz w:val="26"/>
                <w:szCs w:val="26"/>
              </w:rPr>
              <w:t>у</w:t>
            </w:r>
            <w:r w:rsidRPr="00935402">
              <w:rPr>
                <w:sz w:val="26"/>
                <w:szCs w:val="26"/>
              </w:rPr>
              <w:t>рентной политики</w:t>
            </w:r>
          </w:p>
          <w:p w:rsidR="00253309" w:rsidRPr="00935402" w:rsidRDefault="00253309" w:rsidP="0025028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35402">
              <w:rPr>
                <w:sz w:val="26"/>
                <w:szCs w:val="26"/>
              </w:rPr>
              <w:t>Калужской области</w:t>
            </w:r>
          </w:p>
          <w:p w:rsidR="00253309" w:rsidRPr="00935402" w:rsidRDefault="00253309" w:rsidP="0025028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935402">
              <w:rPr>
                <w:sz w:val="26"/>
                <w:szCs w:val="26"/>
              </w:rPr>
              <w:t xml:space="preserve">от </w:t>
            </w:r>
            <w:r w:rsidRPr="00BC0B12">
              <w:rPr>
                <w:sz w:val="26"/>
                <w:szCs w:val="26"/>
              </w:rPr>
              <w:t>27.12.201</w:t>
            </w:r>
            <w:r>
              <w:rPr>
                <w:sz w:val="26"/>
                <w:szCs w:val="26"/>
              </w:rPr>
              <w:t>9</w:t>
            </w:r>
            <w:r w:rsidRPr="0093540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544</w:t>
            </w:r>
            <w:r w:rsidRPr="00935402">
              <w:rPr>
                <w:sz w:val="26"/>
                <w:szCs w:val="26"/>
              </w:rPr>
              <w:t xml:space="preserve">-РК </w:t>
            </w:r>
          </w:p>
        </w:tc>
      </w:tr>
    </w:tbl>
    <w:p w:rsidR="00253309" w:rsidRPr="0036787A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yellow"/>
        </w:rPr>
      </w:pPr>
    </w:p>
    <w:p w:rsidR="00253309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3309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3309" w:rsidRPr="002463B8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3B8">
        <w:rPr>
          <w:b/>
          <w:bCs/>
          <w:sz w:val="26"/>
          <w:szCs w:val="26"/>
        </w:rPr>
        <w:t xml:space="preserve">Стандартизированные тарифные ставки, </w:t>
      </w:r>
    </w:p>
    <w:p w:rsidR="00253309" w:rsidRPr="002463B8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3B8">
        <w:rPr>
          <w:b/>
          <w:bCs/>
          <w:sz w:val="26"/>
          <w:szCs w:val="26"/>
        </w:rPr>
        <w:t>для расчета платы за технологическое присоединение к электрическим сетям территориальных сетевых организаций Калужской области,</w:t>
      </w:r>
      <w:r w:rsidRPr="002463B8">
        <w:t xml:space="preserve"> </w:t>
      </w:r>
      <w:r w:rsidRPr="002463B8">
        <w:rPr>
          <w:b/>
          <w:bCs/>
          <w:sz w:val="26"/>
          <w:szCs w:val="26"/>
        </w:rPr>
        <w:t>на покрытие расх</w:t>
      </w:r>
      <w:r w:rsidRPr="002463B8">
        <w:rPr>
          <w:b/>
          <w:bCs/>
          <w:sz w:val="26"/>
          <w:szCs w:val="26"/>
        </w:rPr>
        <w:t>о</w:t>
      </w:r>
      <w:r w:rsidRPr="002463B8">
        <w:rPr>
          <w:b/>
          <w:bCs/>
          <w:sz w:val="26"/>
          <w:szCs w:val="26"/>
        </w:rPr>
        <w:t>дов, не связанных со строительством объектов электросетевого хозяйства &lt;1&gt;</w:t>
      </w:r>
    </w:p>
    <w:p w:rsidR="00253309" w:rsidRPr="002463B8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3309" w:rsidRPr="0036787A" w:rsidRDefault="00253309" w:rsidP="00253309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  <w:r w:rsidRPr="002463B8">
        <w:rPr>
          <w:bCs/>
        </w:rPr>
        <w:t xml:space="preserve">                                                                                                                                (без НДС)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529"/>
        <w:gridCol w:w="3402"/>
      </w:tblGrid>
      <w:tr w:rsidR="00253309" w:rsidRPr="00290807" w:rsidTr="00250285">
        <w:trPr>
          <w:trHeight w:val="772"/>
        </w:trPr>
        <w:tc>
          <w:tcPr>
            <w:tcW w:w="57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Наименование стандартизированной тарифной ставки</w:t>
            </w:r>
          </w:p>
        </w:tc>
        <w:tc>
          <w:tcPr>
            <w:tcW w:w="3402" w:type="dxa"/>
            <w:shd w:val="clear" w:color="auto" w:fill="auto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Размер стандартизированной т</w:t>
            </w:r>
            <w:r w:rsidRPr="00290807">
              <w:rPr>
                <w:sz w:val="22"/>
                <w:szCs w:val="22"/>
              </w:rPr>
              <w:t>а</w:t>
            </w:r>
            <w:r w:rsidRPr="00290807">
              <w:rPr>
                <w:sz w:val="22"/>
                <w:szCs w:val="22"/>
              </w:rPr>
              <w:t xml:space="preserve">рифной ставки для территорий, руб. за одно присоединение             </w:t>
            </w:r>
          </w:p>
        </w:tc>
      </w:tr>
      <w:tr w:rsidR="00253309" w:rsidRPr="00290807" w:rsidTr="00250285">
        <w:trPr>
          <w:trHeight w:val="1693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3309" w:rsidRPr="00290807" w:rsidRDefault="00253309" w:rsidP="00250285">
            <w:pPr>
              <w:jc w:val="both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С1 - стандартизированная тарифная ставка на покрытие расходов на технологическое присоединение энерг</w:t>
            </w:r>
            <w:r w:rsidRPr="00290807">
              <w:rPr>
                <w:sz w:val="22"/>
                <w:szCs w:val="22"/>
              </w:rPr>
              <w:t>о</w:t>
            </w:r>
            <w:r w:rsidRPr="00290807">
              <w:rPr>
                <w:sz w:val="22"/>
                <w:szCs w:val="22"/>
              </w:rPr>
              <w:t>принимающих устройств потребителей электрической энергии, объектов электросетевого хозяйства, прина</w:t>
            </w:r>
            <w:r w:rsidRPr="00290807">
              <w:rPr>
                <w:sz w:val="22"/>
                <w:szCs w:val="22"/>
              </w:rPr>
              <w:t>д</w:t>
            </w:r>
            <w:r w:rsidRPr="00290807">
              <w:rPr>
                <w:sz w:val="22"/>
                <w:szCs w:val="22"/>
              </w:rPr>
              <w:t>лежащих сетевым организациям и иным лицам, не св</w:t>
            </w:r>
            <w:r w:rsidRPr="00290807">
              <w:rPr>
                <w:sz w:val="22"/>
                <w:szCs w:val="22"/>
              </w:rPr>
              <w:t>я</w:t>
            </w:r>
            <w:r w:rsidRPr="00290807">
              <w:rPr>
                <w:sz w:val="22"/>
                <w:szCs w:val="22"/>
              </w:rPr>
              <w:t>занных со строительством объектов электросетевого хозяйства, в том числе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22 474,61</w:t>
            </w:r>
          </w:p>
        </w:tc>
      </w:tr>
      <w:tr w:rsidR="00253309" w:rsidRPr="00290807" w:rsidTr="00250285">
        <w:trPr>
          <w:trHeight w:val="47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1.1.</w:t>
            </w:r>
          </w:p>
        </w:tc>
        <w:tc>
          <w:tcPr>
            <w:tcW w:w="5529" w:type="dxa"/>
            <w:shd w:val="clear" w:color="auto" w:fill="auto"/>
            <w:hideMark/>
          </w:tcPr>
          <w:p w:rsidR="00253309" w:rsidRPr="00290807" w:rsidRDefault="00253309" w:rsidP="00250285">
            <w:pPr>
              <w:jc w:val="both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С 1.1 - Подготовка и выдача сетевой    организацией технических условий Заявителю (ТУ)</w:t>
            </w:r>
          </w:p>
        </w:tc>
        <w:tc>
          <w:tcPr>
            <w:tcW w:w="3402" w:type="dxa"/>
            <w:vAlign w:val="center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6 728,78</w:t>
            </w:r>
          </w:p>
        </w:tc>
      </w:tr>
      <w:tr w:rsidR="00253309" w:rsidRPr="00290807" w:rsidTr="00250285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1.2.</w:t>
            </w:r>
          </w:p>
        </w:tc>
        <w:tc>
          <w:tcPr>
            <w:tcW w:w="5529" w:type="dxa"/>
            <w:shd w:val="clear" w:color="auto" w:fill="auto"/>
            <w:hideMark/>
          </w:tcPr>
          <w:p w:rsidR="00253309" w:rsidRPr="00290807" w:rsidRDefault="00253309" w:rsidP="00250285">
            <w:pPr>
              <w:jc w:val="both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 xml:space="preserve">С 1.2 - Проверка сетевой организацией   выполнения Заявителем технических условий </w:t>
            </w:r>
          </w:p>
        </w:tc>
        <w:tc>
          <w:tcPr>
            <w:tcW w:w="3402" w:type="dxa"/>
            <w:vAlign w:val="center"/>
          </w:tcPr>
          <w:p w:rsidR="00253309" w:rsidRPr="00290807" w:rsidRDefault="00253309" w:rsidP="00250285">
            <w:pPr>
              <w:jc w:val="center"/>
              <w:rPr>
                <w:sz w:val="22"/>
                <w:szCs w:val="22"/>
              </w:rPr>
            </w:pPr>
            <w:r w:rsidRPr="00290807">
              <w:rPr>
                <w:sz w:val="22"/>
                <w:szCs w:val="22"/>
              </w:rPr>
              <w:t>15 745,83</w:t>
            </w:r>
          </w:p>
        </w:tc>
      </w:tr>
    </w:tbl>
    <w:p w:rsidR="00253309" w:rsidRPr="0036787A" w:rsidRDefault="00253309" w:rsidP="00253309">
      <w:pPr>
        <w:tabs>
          <w:tab w:val="left" w:pos="9072"/>
        </w:tabs>
        <w:jc w:val="both"/>
        <w:rPr>
          <w:sz w:val="26"/>
          <w:szCs w:val="20"/>
          <w:highlight w:val="yellow"/>
        </w:rPr>
      </w:pPr>
    </w:p>
    <w:p w:rsidR="00253309" w:rsidRPr="002463B8" w:rsidRDefault="00253309" w:rsidP="00253309">
      <w:pPr>
        <w:tabs>
          <w:tab w:val="left" w:pos="9072"/>
        </w:tabs>
        <w:ind w:firstLine="709"/>
        <w:jc w:val="both"/>
        <w:rPr>
          <w:sz w:val="26"/>
          <w:szCs w:val="20"/>
        </w:rPr>
      </w:pPr>
      <w:r w:rsidRPr="002463B8">
        <w:rPr>
          <w:sz w:val="26"/>
          <w:szCs w:val="20"/>
        </w:rPr>
        <w:t>&lt;1&gt; Применяются для расчета платы за технологическое присоединение к электрическим сетям при временной схеме электроснабжения, в том числе для обе</w:t>
      </w:r>
      <w:r w:rsidRPr="002463B8">
        <w:rPr>
          <w:sz w:val="26"/>
          <w:szCs w:val="20"/>
        </w:rPr>
        <w:t>с</w:t>
      </w:r>
      <w:r w:rsidRPr="002463B8">
        <w:rPr>
          <w:sz w:val="26"/>
          <w:szCs w:val="20"/>
        </w:rPr>
        <w:t>печения электрической энергией передвижных энергопринимающих устройств с ма</w:t>
      </w:r>
      <w:r w:rsidRPr="002463B8">
        <w:rPr>
          <w:sz w:val="26"/>
          <w:szCs w:val="20"/>
        </w:rPr>
        <w:t>к</w:t>
      </w:r>
      <w:r w:rsidRPr="002463B8">
        <w:rPr>
          <w:sz w:val="26"/>
          <w:szCs w:val="20"/>
        </w:rPr>
        <w:t>симальной мощностью до 150 кВт включительно (с учетом мощности ранее присо</w:t>
      </w:r>
      <w:r w:rsidRPr="002463B8">
        <w:rPr>
          <w:sz w:val="26"/>
          <w:szCs w:val="20"/>
        </w:rPr>
        <w:t>е</w:t>
      </w:r>
      <w:r w:rsidRPr="002463B8">
        <w:rPr>
          <w:sz w:val="26"/>
          <w:szCs w:val="20"/>
        </w:rPr>
        <w:t>диненных в данной точке присоединения энергопринимающих устройств), и пост</w:t>
      </w:r>
      <w:r w:rsidRPr="002463B8">
        <w:rPr>
          <w:sz w:val="26"/>
          <w:szCs w:val="20"/>
        </w:rPr>
        <w:t>о</w:t>
      </w:r>
      <w:r w:rsidRPr="002463B8">
        <w:rPr>
          <w:sz w:val="26"/>
          <w:szCs w:val="20"/>
        </w:rPr>
        <w:t xml:space="preserve">янной схеме электроснабжения. </w:t>
      </w:r>
    </w:p>
    <w:p w:rsidR="00253309" w:rsidRPr="002463B8" w:rsidRDefault="00253309" w:rsidP="00253309">
      <w:pPr>
        <w:tabs>
          <w:tab w:val="left" w:pos="9072"/>
        </w:tabs>
        <w:jc w:val="both"/>
        <w:rPr>
          <w:sz w:val="26"/>
          <w:szCs w:val="20"/>
        </w:rPr>
      </w:pPr>
    </w:p>
    <w:p w:rsidR="00253309" w:rsidRPr="0036787A" w:rsidRDefault="00253309" w:rsidP="00253309">
      <w:pPr>
        <w:tabs>
          <w:tab w:val="left" w:pos="9072"/>
        </w:tabs>
        <w:jc w:val="both"/>
        <w:rPr>
          <w:sz w:val="26"/>
          <w:szCs w:val="20"/>
          <w:highlight w:val="yellow"/>
        </w:rPr>
      </w:pPr>
    </w:p>
    <w:p w:rsidR="00253309" w:rsidRPr="0036787A" w:rsidRDefault="00253309" w:rsidP="00253309">
      <w:pPr>
        <w:tabs>
          <w:tab w:val="left" w:pos="9072"/>
        </w:tabs>
        <w:jc w:val="both"/>
        <w:rPr>
          <w:sz w:val="26"/>
          <w:szCs w:val="20"/>
          <w:highlight w:val="yellow"/>
        </w:rPr>
      </w:pPr>
    </w:p>
    <w:p w:rsidR="00253309" w:rsidRPr="0036787A" w:rsidRDefault="00253309" w:rsidP="00253309">
      <w:pPr>
        <w:tabs>
          <w:tab w:val="left" w:pos="9072"/>
        </w:tabs>
        <w:jc w:val="both"/>
        <w:rPr>
          <w:sz w:val="26"/>
          <w:szCs w:val="20"/>
          <w:highlight w:val="yellow"/>
        </w:rPr>
      </w:pPr>
    </w:p>
    <w:p w:rsidR="00253309" w:rsidRPr="0036787A" w:rsidRDefault="00253309" w:rsidP="00253309">
      <w:pPr>
        <w:tabs>
          <w:tab w:val="left" w:pos="9072"/>
        </w:tabs>
        <w:jc w:val="both"/>
        <w:rPr>
          <w:sz w:val="26"/>
          <w:szCs w:val="20"/>
          <w:highlight w:val="yellow"/>
        </w:rPr>
        <w:sectPr w:rsidR="00253309" w:rsidRPr="0036787A" w:rsidSect="006858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3309" w:rsidRPr="00C63025" w:rsidRDefault="00253309" w:rsidP="00253309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lastRenderedPageBreak/>
        <w:t>Приложение № 2</w:t>
      </w:r>
    </w:p>
    <w:p w:rsidR="00253309" w:rsidRDefault="00253309" w:rsidP="0025330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 приказу министерства</w:t>
      </w:r>
    </w:p>
    <w:p w:rsidR="00253309" w:rsidRPr="00C63025" w:rsidRDefault="00253309" w:rsidP="0025330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конкурентной политики</w:t>
      </w:r>
    </w:p>
    <w:p w:rsidR="00253309" w:rsidRPr="00C63025" w:rsidRDefault="00253309" w:rsidP="0025330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Калужской области</w:t>
      </w:r>
    </w:p>
    <w:p w:rsidR="00253309" w:rsidRDefault="00253309" w:rsidP="00253309">
      <w:pPr>
        <w:tabs>
          <w:tab w:val="left" w:pos="13635"/>
          <w:tab w:val="right" w:pos="1513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 xml:space="preserve">от </w:t>
      </w:r>
      <w:r w:rsidRPr="00BC0B12">
        <w:rPr>
          <w:sz w:val="26"/>
          <w:szCs w:val="26"/>
        </w:rPr>
        <w:t>27.12.201</w:t>
      </w:r>
      <w:r>
        <w:rPr>
          <w:sz w:val="26"/>
          <w:szCs w:val="26"/>
        </w:rPr>
        <w:t>9</w:t>
      </w:r>
      <w:r w:rsidRPr="00C6302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544</w:t>
      </w:r>
      <w:r w:rsidRPr="00C63025">
        <w:rPr>
          <w:sz w:val="26"/>
          <w:szCs w:val="26"/>
        </w:rPr>
        <w:t>-РК</w:t>
      </w:r>
    </w:p>
    <w:p w:rsidR="00253309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3309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3309" w:rsidRPr="0068584E" w:rsidRDefault="00253309" w:rsidP="002533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584E">
        <w:rPr>
          <w:b/>
          <w:bCs/>
          <w:sz w:val="26"/>
          <w:szCs w:val="26"/>
        </w:rPr>
        <w:t xml:space="preserve">Стандартизированные тарифные ставки, </w:t>
      </w:r>
      <w:r>
        <w:rPr>
          <w:b/>
          <w:bCs/>
          <w:sz w:val="26"/>
          <w:szCs w:val="26"/>
        </w:rPr>
        <w:t xml:space="preserve">для расчета </w:t>
      </w:r>
      <w:r w:rsidRPr="0068584E">
        <w:rPr>
          <w:b/>
          <w:bCs/>
          <w:sz w:val="26"/>
          <w:szCs w:val="26"/>
        </w:rPr>
        <w:t>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строительством объе</w:t>
      </w:r>
      <w:r w:rsidRPr="0068584E">
        <w:rPr>
          <w:b/>
          <w:bCs/>
          <w:sz w:val="26"/>
          <w:szCs w:val="26"/>
        </w:rPr>
        <w:t>к</w:t>
      </w:r>
      <w:r w:rsidRPr="0068584E">
        <w:rPr>
          <w:b/>
          <w:bCs/>
          <w:sz w:val="26"/>
          <w:szCs w:val="26"/>
        </w:rPr>
        <w:t>тов электросетевого хозяйства</w:t>
      </w:r>
    </w:p>
    <w:p w:rsidR="00253309" w:rsidRPr="000C7BD5" w:rsidRDefault="00253309" w:rsidP="00253309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68584E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68584E">
        <w:t xml:space="preserve">  </w:t>
      </w:r>
      <w:r>
        <w:t xml:space="preserve">     </w:t>
      </w:r>
      <w:r w:rsidRPr="0068584E">
        <w:t xml:space="preserve">  </w:t>
      </w:r>
      <w:r w:rsidRPr="000C7BD5">
        <w:rPr>
          <w:sz w:val="20"/>
          <w:szCs w:val="20"/>
        </w:rPr>
        <w:t>(без НДС)</w:t>
      </w:r>
    </w:p>
    <w:tbl>
      <w:tblPr>
        <w:tblW w:w="1511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707"/>
        <w:gridCol w:w="2123"/>
        <w:gridCol w:w="2127"/>
        <w:gridCol w:w="2127"/>
        <w:gridCol w:w="2128"/>
        <w:gridCol w:w="2127"/>
        <w:gridCol w:w="2070"/>
      </w:tblGrid>
      <w:tr w:rsidR="00253309" w:rsidRPr="00290807" w:rsidTr="00250285">
        <w:trPr>
          <w:trHeight w:val="1877"/>
          <w:jc w:val="center"/>
        </w:trPr>
        <w:tc>
          <w:tcPr>
            <w:tcW w:w="703" w:type="dxa"/>
            <w:shd w:val="clear" w:color="auto" w:fill="auto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относящихся к территориям горо</w:t>
            </w:r>
            <w:r w:rsidRPr="00290807">
              <w:rPr>
                <w:bCs/>
                <w:sz w:val="20"/>
                <w:szCs w:val="20"/>
              </w:rPr>
              <w:t>д</w:t>
            </w:r>
            <w:r w:rsidRPr="00290807">
              <w:rPr>
                <w:bCs/>
                <w:sz w:val="20"/>
                <w:szCs w:val="20"/>
              </w:rPr>
              <w:t>ских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не относящихся к территориям горо</w:t>
            </w:r>
            <w:r w:rsidRPr="00290807">
              <w:rPr>
                <w:bCs/>
                <w:sz w:val="20"/>
                <w:szCs w:val="20"/>
              </w:rPr>
              <w:t>д</w:t>
            </w:r>
            <w:r w:rsidRPr="00290807">
              <w:rPr>
                <w:bCs/>
                <w:sz w:val="20"/>
                <w:szCs w:val="20"/>
              </w:rPr>
              <w:t>ских населенных пунктов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относящихся к территориям горо</w:t>
            </w:r>
            <w:r w:rsidRPr="00290807">
              <w:rPr>
                <w:bCs/>
                <w:sz w:val="20"/>
                <w:szCs w:val="20"/>
              </w:rPr>
              <w:t>д</w:t>
            </w:r>
            <w:r w:rsidRPr="00290807">
              <w:rPr>
                <w:bCs/>
                <w:sz w:val="20"/>
                <w:szCs w:val="20"/>
              </w:rPr>
              <w:t>ских населенных пунктов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не относящихся к территориям горо</w:t>
            </w:r>
            <w:r w:rsidRPr="00290807">
              <w:rPr>
                <w:bCs/>
                <w:sz w:val="20"/>
                <w:szCs w:val="20"/>
              </w:rPr>
              <w:t>д</w:t>
            </w:r>
            <w:r w:rsidRPr="00290807">
              <w:rPr>
                <w:bCs/>
                <w:sz w:val="20"/>
                <w:szCs w:val="20"/>
              </w:rPr>
              <w:t>ских населенных пунктов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относящихся к территориям горо</w:t>
            </w:r>
            <w:r w:rsidRPr="00290807">
              <w:rPr>
                <w:bCs/>
                <w:sz w:val="20"/>
                <w:szCs w:val="20"/>
              </w:rPr>
              <w:t>д</w:t>
            </w:r>
            <w:r w:rsidRPr="00290807">
              <w:rPr>
                <w:bCs/>
                <w:sz w:val="20"/>
                <w:szCs w:val="20"/>
              </w:rPr>
              <w:t>ских населенных пунктов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</w:t>
            </w:r>
            <w:r w:rsidRPr="00290807">
              <w:rPr>
                <w:bCs/>
                <w:sz w:val="20"/>
                <w:szCs w:val="20"/>
              </w:rPr>
              <w:t>и</w:t>
            </w:r>
            <w:r w:rsidRPr="00290807">
              <w:rPr>
                <w:bCs/>
                <w:sz w:val="20"/>
                <w:szCs w:val="20"/>
              </w:rPr>
              <w:t>рованной тарифной ставки 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не относящихся к территориям г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родских населенных пунктов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Уровень напряжения 0,4 кВ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Уровень напряжения 6-10 кВ</w:t>
            </w:r>
          </w:p>
        </w:tc>
        <w:tc>
          <w:tcPr>
            <w:tcW w:w="4197" w:type="dxa"/>
            <w:gridSpan w:val="2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Уровень напряжения 35 -110 кВ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>2</w:t>
            </w:r>
            <w:r w:rsidRPr="00290807">
              <w:rPr>
                <w:rFonts w:eastAsia="Calibri"/>
                <w:bCs/>
                <w:sz w:val="20"/>
                <w:szCs w:val="20"/>
              </w:rPr>
              <w:t xml:space="preserve"> – стандартизированная тарифная ставка на покрытие расходов сетевой организации на строительство воздушных линий электропередачи руб./км</w:t>
            </w:r>
          </w:p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trHeight w:val="291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2.1</w:t>
            </w:r>
          </w:p>
        </w:tc>
        <w:tc>
          <w:tcPr>
            <w:tcW w:w="10212" w:type="dxa"/>
            <w:gridSpan w:val="5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Строительство ВЛ на железобетонных опорах</w:t>
            </w:r>
          </w:p>
        </w:tc>
        <w:tc>
          <w:tcPr>
            <w:tcW w:w="2127" w:type="dxa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trHeight w:val="588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2.1.1</w:t>
            </w:r>
          </w:p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50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 xml:space="preserve">2 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1 649 100,00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1 583 400,00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2 065 100,00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2 158 900,00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2.1.2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более 50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 xml:space="preserve">2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1 462 700,00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1 621 300,00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1 645 800,00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1 942 400,00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</w:t>
            </w:r>
          </w:p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>3</w:t>
            </w:r>
            <w:r w:rsidRPr="00290807">
              <w:rPr>
                <w:rFonts w:eastAsia="Calibri"/>
                <w:bCs/>
                <w:sz w:val="20"/>
                <w:szCs w:val="20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электропередачи, руб./км</w:t>
            </w:r>
          </w:p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3.1</w:t>
            </w:r>
          </w:p>
        </w:tc>
        <w:tc>
          <w:tcPr>
            <w:tcW w:w="10212" w:type="dxa"/>
            <w:gridSpan w:val="5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Подземная прокладка в траншее одного кабеля с алюминиевыми жилами </w:t>
            </w:r>
          </w:p>
        </w:tc>
        <w:tc>
          <w:tcPr>
            <w:tcW w:w="2127" w:type="dxa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3.1.1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50 мм2 (включ</w:t>
            </w:r>
            <w:r w:rsidRPr="00290807">
              <w:rPr>
                <w:rFonts w:eastAsia="Calibri"/>
                <w:bCs/>
                <w:sz w:val="20"/>
                <w:szCs w:val="20"/>
              </w:rPr>
              <w:t>и</w:t>
            </w:r>
            <w:r w:rsidRPr="00290807">
              <w:rPr>
                <w:rFonts w:eastAsia="Calibri"/>
                <w:bCs/>
                <w:sz w:val="20"/>
                <w:szCs w:val="20"/>
              </w:rPr>
              <w:t>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1 789 700,00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1 789 700,00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3.1.2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95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3 185 500,00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3 196 300,00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4 045 200,00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4 043 300,00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3.1.3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120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lastRenderedPageBreak/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lastRenderedPageBreak/>
              <w:t>4 303 300,00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4 649 900,00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4 486 000,00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4 803 300,00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240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4 549 000,00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4 549 000,00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4 723 100,00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5 038 100,00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3.1.5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500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3 859 000,00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3 859 000,00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3.2</w:t>
            </w:r>
          </w:p>
        </w:tc>
        <w:tc>
          <w:tcPr>
            <w:tcW w:w="14409" w:type="dxa"/>
            <w:gridSpan w:val="7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Строительство закрытых переходов методом горизонтального направленного бурения трубами ПНД диаметром 110 мм кабелем с алюминиевыми жилами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3.2.1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95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13 561 700,00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13 561 700,00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13 561 700,00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13 561 700,00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3.2.2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120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15 167 100,00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12 584 100,00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15 167 100,00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12 584 100,00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3.3</w:t>
            </w:r>
          </w:p>
        </w:tc>
        <w:tc>
          <w:tcPr>
            <w:tcW w:w="14409" w:type="dxa"/>
            <w:gridSpan w:val="7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Строительство закрытых переходов методом горизонтального направленного бурения трубами ПНД диаметром 160 мм кабелем с алюминиевыми жилами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3.3.1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240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 xml:space="preserve">2 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19 793 600,00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19 793 600,00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19 793 600,00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19 793 600,00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- 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3.3.2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bCs/>
                <w:sz w:val="20"/>
                <w:szCs w:val="20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сечение жилы до 500 м</w:t>
            </w:r>
            <w:r w:rsidRPr="00290807">
              <w:rPr>
                <w:bCs/>
                <w:sz w:val="20"/>
                <w:szCs w:val="20"/>
              </w:rPr>
              <w:t>м</w:t>
            </w:r>
            <w:r w:rsidRPr="00290807">
              <w:rPr>
                <w:bCs/>
                <w:sz w:val="20"/>
                <w:szCs w:val="20"/>
                <w:vertAlign w:val="superscript"/>
              </w:rPr>
              <w:t xml:space="preserve">2 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25 486 300,00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25 486 300,00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25 486 300,00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25 486 300,00</w:t>
            </w:r>
          </w:p>
        </w:tc>
        <w:tc>
          <w:tcPr>
            <w:tcW w:w="2127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>4</w:t>
            </w:r>
            <w:r w:rsidRPr="00290807">
              <w:rPr>
                <w:rFonts w:eastAsia="Calibri"/>
                <w:bCs/>
                <w:sz w:val="20"/>
                <w:szCs w:val="20"/>
              </w:rPr>
              <w:t xml:space="preserve"> – стандартизированная тарифная ставка на покрытие расходов сетевой организации на строительство пунктов секционирования (реклоузеров, распределительных пунктов, переключательных пунктов), руб./шт.</w:t>
            </w:r>
          </w:p>
        </w:tc>
      </w:tr>
      <w:tr w:rsidR="00253309" w:rsidRPr="00290807" w:rsidTr="00250285">
        <w:trPr>
          <w:trHeight w:val="34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4.1</w:t>
            </w:r>
          </w:p>
        </w:tc>
        <w:tc>
          <w:tcPr>
            <w:tcW w:w="1707" w:type="dxa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Строительство реклоузеров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1 548 700,00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1 731 300,00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1 548 700,00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1 731 300,00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 xml:space="preserve">5 </w:t>
            </w:r>
            <w:r w:rsidRPr="00290807">
              <w:rPr>
                <w:rFonts w:eastAsia="Calibri"/>
                <w:bCs/>
                <w:sz w:val="20"/>
                <w:szCs w:val="20"/>
              </w:rPr>
              <w:t>- стандартизированная тарифная ставка на покрытие расходов сетевой организации на строительство трансформаторных подстанций (ТП), за исключением ра</w:t>
            </w: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</w:rPr>
              <w:t>пределительных трансформаторных подстанций (РТП), с уровнем напряжения до 35 кВ руб./кВт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Комплектная трансформаторная подстанция с одним трансформатором (КТПп) 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до 160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8 534,80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8 534,60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8 534,80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8 534,60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мощностью до 250 кВА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5 687,81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5 713,00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5 687,81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5 713,00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5.1.3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до 400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4 559,80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4 553,50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4 559,80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4 553,50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5.1.4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мощностью до 630 кВА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6 407,28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5 479,90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6 407,28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5 479,90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5.1.5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до 1000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3 793,74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3 793,74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3 793,74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3 793,74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Комплектная трансформаторная подстанция с двумя трансформаторами (КТПп) 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5.2.1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мощностью до 250 кВА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11 180,99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12 366,90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11 180,99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12 366,90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5.2.2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до 400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8 196,60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9 174,90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8 196,60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9 174,90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5.2.3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2 х 630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6 598,90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6 598,90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6 598,90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6 598,90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5.3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5.3.1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 xml:space="preserve">мощностью 2 х 630 кВА 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9 284,24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9 284,24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9 284,24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9 284,24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5.3.2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2 х 1000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11 385,30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11 910,90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11 385,30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11 910,90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5.3.3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мощностью 2 х 1600 кВА</w:t>
            </w:r>
          </w:p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10 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0"/>
                <w:szCs w:val="20"/>
              </w:rPr>
              <w:t>,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10 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0"/>
                <w:szCs w:val="20"/>
              </w:rPr>
              <w:t>,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10 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0"/>
                <w:szCs w:val="20"/>
              </w:rPr>
              <w:t>,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28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10 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0"/>
                <w:szCs w:val="20"/>
              </w:rPr>
              <w:t>,</w:t>
            </w:r>
            <w:r w:rsidRPr="00290807">
              <w:rPr>
                <w:rFonts w:eastAsia="Calibr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14409" w:type="dxa"/>
            <w:gridSpan w:val="7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 xml:space="preserve">6 </w:t>
            </w:r>
            <w:r w:rsidRPr="00290807">
              <w:rPr>
                <w:rFonts w:eastAsia="Calibri"/>
                <w:bCs/>
                <w:sz w:val="20"/>
                <w:szCs w:val="20"/>
              </w:rPr>
              <w:t>- стандартизированная тарифная ставка на покрытие расходов сетевой организации на строительство распределительных трансформаторных подстанций (РТП) с уровнем напряжения до 35 кВ), (руб./кВт)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6.1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РТП (14 ячеек)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7 595,37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7 595,37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253309" w:rsidRPr="00290807" w:rsidTr="00250285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10212" w:type="dxa"/>
            <w:gridSpan w:val="5"/>
            <w:shd w:val="clear" w:color="auto" w:fill="auto"/>
            <w:vAlign w:val="center"/>
          </w:tcPr>
          <w:p w:rsidR="00253309" w:rsidRPr="00290807" w:rsidRDefault="00253309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С</w:t>
            </w:r>
            <w:r w:rsidRPr="00290807">
              <w:rPr>
                <w:rFonts w:eastAsia="Calibri"/>
                <w:bCs/>
                <w:sz w:val="20"/>
                <w:szCs w:val="20"/>
                <w:vertAlign w:val="subscript"/>
              </w:rPr>
              <w:t xml:space="preserve">7 </w:t>
            </w:r>
            <w:r w:rsidRPr="00290807">
              <w:rPr>
                <w:rFonts w:eastAsia="Calibri"/>
                <w:bCs/>
                <w:sz w:val="20"/>
                <w:szCs w:val="20"/>
              </w:rPr>
              <w:t>- стандартизированная тарифная ставка на покрытие расходов сетевой организации на строительство трансфо</w:t>
            </w:r>
            <w:r w:rsidRPr="00290807">
              <w:rPr>
                <w:rFonts w:eastAsia="Calibri"/>
                <w:bCs/>
                <w:sz w:val="20"/>
                <w:szCs w:val="20"/>
              </w:rPr>
              <w:t>р</w:t>
            </w:r>
            <w:r w:rsidRPr="00290807">
              <w:rPr>
                <w:rFonts w:eastAsia="Calibri"/>
                <w:bCs/>
                <w:sz w:val="20"/>
                <w:szCs w:val="20"/>
              </w:rPr>
              <w:t>маторных подстанций уровнем напряжения 35 кВ и выше (ПС), (руб./кВт)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vAlign w:val="center"/>
          </w:tcPr>
          <w:p w:rsidR="00253309" w:rsidRPr="00290807" w:rsidRDefault="00253309" w:rsidP="0025028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</w:tbl>
    <w:p w:rsidR="00253309" w:rsidRDefault="00253309" w:rsidP="002533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C4AAD">
        <w:rPr>
          <w:bCs/>
          <w:sz w:val="26"/>
          <w:szCs w:val="26"/>
        </w:rPr>
        <w:t xml:space="preserve">          </w:t>
      </w:r>
    </w:p>
    <w:p w:rsidR="00253309" w:rsidRPr="00290807" w:rsidRDefault="00253309" w:rsidP="0025330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290807">
        <w:t>Примечание:</w:t>
      </w:r>
    </w:p>
    <w:p w:rsidR="00253309" w:rsidRPr="00290807" w:rsidRDefault="00253309" w:rsidP="00253309">
      <w:pPr>
        <w:ind w:firstLine="709"/>
        <w:jc w:val="both"/>
      </w:pPr>
      <w:r w:rsidRPr="00290807"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стандартиз</w:t>
      </w:r>
      <w:r w:rsidRPr="00290807">
        <w:t>и</w:t>
      </w:r>
      <w:r w:rsidRPr="00290807">
        <w:t>рованные тарифные ставки, определяющие величину платы за технологическое присоединение к электрическим сетям территориальных с</w:t>
      </w:r>
      <w:r w:rsidRPr="00290807">
        <w:t>е</w:t>
      </w:r>
      <w:r w:rsidRPr="00290807">
        <w:t>тевых организаций Калужской области на покрытие расходов, связанных со строительством объектов электросетевого хозяйства, равны н</w:t>
      </w:r>
      <w:r w:rsidRPr="00290807">
        <w:t>у</w:t>
      </w:r>
      <w:r w:rsidRPr="00290807">
        <w:t>лю.</w:t>
      </w:r>
    </w:p>
    <w:p w:rsidR="00253309" w:rsidRPr="00290807" w:rsidRDefault="00253309" w:rsidP="00253309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290807">
        <w:rPr>
          <w:position w:val="-28"/>
        </w:rPr>
        <w:t>Размер тарифных ставок за технологическое присоединение определен для третьей категории надежности электроснабжения (техн</w:t>
      </w:r>
      <w:r w:rsidRPr="00290807">
        <w:rPr>
          <w:position w:val="-28"/>
        </w:rPr>
        <w:t>о</w:t>
      </w:r>
      <w:r w:rsidRPr="00290807">
        <w:rPr>
          <w:position w:val="-28"/>
        </w:rPr>
        <w:t>логическое присоединение к одному источнику энергоснабжения).</w:t>
      </w:r>
    </w:p>
    <w:p w:rsidR="005147DF" w:rsidRPr="00253309" w:rsidRDefault="005147DF" w:rsidP="00253309"/>
    <w:sectPr w:rsidR="005147DF" w:rsidRPr="00253309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B1" w:rsidRDefault="00D770B1" w:rsidP="00751006">
      <w:r>
        <w:separator/>
      </w:r>
    </w:p>
  </w:endnote>
  <w:endnote w:type="continuationSeparator" w:id="0">
    <w:p w:rsidR="00D770B1" w:rsidRDefault="00D770B1" w:rsidP="0075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B1" w:rsidRDefault="00D770B1" w:rsidP="00751006">
      <w:r>
        <w:separator/>
      </w:r>
    </w:p>
  </w:footnote>
  <w:footnote w:type="continuationSeparator" w:id="0">
    <w:p w:rsidR="00D770B1" w:rsidRDefault="00D770B1" w:rsidP="0075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EF"/>
    <w:rsid w:val="00187646"/>
    <w:rsid w:val="001D3BD8"/>
    <w:rsid w:val="00223478"/>
    <w:rsid w:val="00253309"/>
    <w:rsid w:val="002F35EF"/>
    <w:rsid w:val="00497B5B"/>
    <w:rsid w:val="005147DF"/>
    <w:rsid w:val="00531162"/>
    <w:rsid w:val="006E19CF"/>
    <w:rsid w:val="00751006"/>
    <w:rsid w:val="007A7547"/>
    <w:rsid w:val="00A05BF3"/>
    <w:rsid w:val="00D7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309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53309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253309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253309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253309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25330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253309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  <w:style w:type="paragraph" w:styleId="a4">
    <w:name w:val="header"/>
    <w:basedOn w:val="a"/>
    <w:link w:val="a5"/>
    <w:unhideWhenUsed/>
    <w:rsid w:val="00751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3309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309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330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30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330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330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30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rsid w:val="00253309"/>
    <w:rPr>
      <w:color w:val="0000FF"/>
      <w:u w:val="single"/>
    </w:rPr>
  </w:style>
  <w:style w:type="paragraph" w:styleId="a9">
    <w:name w:val="Body Text"/>
    <w:basedOn w:val="a"/>
    <w:link w:val="aa"/>
    <w:rsid w:val="00253309"/>
    <w:rPr>
      <w:sz w:val="26"/>
    </w:rPr>
  </w:style>
  <w:style w:type="character" w:customStyle="1" w:styleId="aa">
    <w:name w:val="Основной текст Знак"/>
    <w:basedOn w:val="a0"/>
    <w:link w:val="a9"/>
    <w:rsid w:val="002533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253309"/>
    <w:rPr>
      <w:b/>
      <w:bCs/>
    </w:rPr>
  </w:style>
  <w:style w:type="character" w:customStyle="1" w:styleId="22">
    <w:name w:val="Основной текст 2 Знак"/>
    <w:basedOn w:val="a0"/>
    <w:link w:val="21"/>
    <w:rsid w:val="00253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253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2533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caption"/>
    <w:basedOn w:val="a"/>
    <w:next w:val="a"/>
    <w:qFormat/>
    <w:rsid w:val="00253309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25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53309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2533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253309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5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53309"/>
    <w:pPr>
      <w:spacing w:before="100" w:beforeAutospacing="1" w:after="100" w:afterAutospacing="1"/>
    </w:pPr>
  </w:style>
  <w:style w:type="paragraph" w:customStyle="1" w:styleId="ConsPlusCell">
    <w:name w:val="ConsPlusCell"/>
    <w:rsid w:val="0025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2533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5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2533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rsid w:val="00253309"/>
    <w:rPr>
      <w:color w:val="008000"/>
    </w:rPr>
  </w:style>
  <w:style w:type="paragraph" w:customStyle="1" w:styleId="ConsNonformat">
    <w:name w:val="ConsNonformat"/>
    <w:rsid w:val="00253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25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</cp:revision>
  <dcterms:created xsi:type="dcterms:W3CDTF">2016-02-10T07:30:00Z</dcterms:created>
  <dcterms:modified xsi:type="dcterms:W3CDTF">2020-02-26T07:07:00Z</dcterms:modified>
</cp:coreProperties>
</file>