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F7" w:rsidRDefault="001807F7" w:rsidP="001807F7">
      <w:pPr>
        <w:pStyle w:val="ConsPlusNormal"/>
        <w:jc w:val="right"/>
      </w:pPr>
      <w:r>
        <w:t>Таблица 6</w:t>
      </w:r>
    </w:p>
    <w:p w:rsidR="001807F7" w:rsidRDefault="001807F7" w:rsidP="001807F7">
      <w:pPr>
        <w:pStyle w:val="ConsPlusNormal"/>
        <w:jc w:val="both"/>
      </w:pPr>
    </w:p>
    <w:p w:rsidR="001807F7" w:rsidRDefault="001807F7" w:rsidP="001807F7">
      <w:pPr>
        <w:pStyle w:val="ConsPlusNormal"/>
        <w:jc w:val="center"/>
      </w:pPr>
      <w:bookmarkStart w:id="0" w:name="P1244"/>
      <w:bookmarkEnd w:id="0"/>
      <w:r>
        <w:t>Информация об условиях договора об осуществлении</w:t>
      </w:r>
    </w:p>
    <w:p w:rsidR="001807F7" w:rsidRDefault="001807F7" w:rsidP="001807F7">
      <w:pPr>
        <w:pStyle w:val="ConsPlusNormal"/>
        <w:jc w:val="center"/>
      </w:pPr>
      <w:r>
        <w:t>технологического присоединения к электрическим сетям</w:t>
      </w:r>
    </w:p>
    <w:p w:rsidR="001807F7" w:rsidRDefault="001807F7" w:rsidP="00180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1807F7" w:rsidTr="00D93274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7" w:rsidRDefault="001807F7" w:rsidP="00D93274">
            <w:pPr>
              <w:pStyle w:val="ConsPlusNormal"/>
              <w:jc w:val="center"/>
            </w:pPr>
            <w:r>
              <w:t>Договор об осуществлении технологического присоединения к электрическим сетям</w:t>
            </w:r>
          </w:p>
        </w:tc>
      </w:tr>
      <w:tr w:rsidR="001807F7" w:rsidTr="00D93274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7F7" w:rsidRDefault="001807F7" w:rsidP="00D93274">
            <w:pPr>
              <w:pStyle w:val="ConsPlusNormal"/>
            </w:pPr>
            <w:proofErr w:type="gramStart"/>
            <w:r>
              <w:t xml:space="preserve">В соответствии с </w:t>
            </w:r>
            <w:hyperlink r:id="rId4" w:history="1">
              <w:r>
                <w:rPr>
                  <w:color w:val="0000FF"/>
                </w:rPr>
                <w:t>пунктом 16</w:t>
              </w:r>
            </w:hyperlink>
            <w:r>
              <w:t xml:space="preserve"> Правил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N 861 (опубликовано в изданиях:</w:t>
            </w:r>
            <w:proofErr w:type="gramEnd"/>
            <w:r>
              <w:t xml:space="preserve"> "Собрание законодательства РФ", 27.12.2004, N 52 (часть 2), ст. 5525; "Российская газета", N 7, 19.01.2005) (далее - Правила технологического присоединения), договор об осуществлении технологического присоединения к электрическим сетям содержит следующие существенные условия:</w:t>
            </w:r>
          </w:p>
          <w:p w:rsidR="001807F7" w:rsidRDefault="001807F7" w:rsidP="00D93274">
            <w:pPr>
              <w:pStyle w:val="ConsPlusNormal"/>
            </w:pPr>
            <w: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1807F7" w:rsidRDefault="001807F7" w:rsidP="00D93274">
            <w:pPr>
              <w:pStyle w:val="ConsPlusNormal"/>
            </w:pPr>
            <w:r>
              <w:t>б) срок осуществления мероприятий по технологическому присоединению, который исчисляется со дня заключения договора и не может превышать:</w:t>
            </w:r>
          </w:p>
          <w:p w:rsidR="001807F7" w:rsidRDefault="001807F7" w:rsidP="00D93274">
            <w:pPr>
              <w:pStyle w:val="ConsPlusNormal"/>
            </w:pPr>
            <w:proofErr w:type="gramStart"/>
            <w:r>
      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>
              <w:t>энергопринимающие</w:t>
            </w:r>
            <w:proofErr w:type="spellEnd"/>
            <w: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      </w:r>
            <w:proofErr w:type="gramEnd"/>
            <w:r>
              <w:t xml:space="preserve"> по строительству (реконструкции)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от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до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и (или) объектов электроэнергетики:</w:t>
            </w:r>
          </w:p>
        </w:tc>
      </w:tr>
      <w:tr w:rsidR="001807F7" w:rsidTr="00D93274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7F7" w:rsidRDefault="001807F7" w:rsidP="00D93274">
            <w:pPr>
              <w:pStyle w:val="ConsPlusNormal"/>
            </w:pPr>
            <w:r>
      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      </w:r>
          </w:p>
          <w:p w:rsidR="001807F7" w:rsidRDefault="001807F7" w:rsidP="00D93274">
            <w:pPr>
              <w:pStyle w:val="ConsPlusNormal"/>
            </w:pPr>
            <w:r>
              <w:t xml:space="preserve">4 месяца - для заявителей,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которых составляет до 670 к</w:t>
            </w:r>
            <w:proofErr w:type="gramStart"/>
            <w:r>
              <w:t>Вт вкл</w:t>
            </w:r>
            <w:proofErr w:type="gramEnd"/>
            <w:r>
              <w:t>ючительно;</w:t>
            </w:r>
          </w:p>
          <w:p w:rsidR="001807F7" w:rsidRDefault="001807F7" w:rsidP="00D93274">
            <w:pPr>
              <w:pStyle w:val="ConsPlusNormal"/>
            </w:pPr>
            <w:r>
              <w:t xml:space="preserve">1 год - для заявителей,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которых составляет свыше 670 кВт;</w:t>
            </w:r>
          </w:p>
          <w:p w:rsidR="001807F7" w:rsidRDefault="001807F7" w:rsidP="00D93274">
            <w:pPr>
              <w:pStyle w:val="ConsPlusNormal"/>
            </w:pPr>
            <w:r>
              <w:t>в иных случаях:</w:t>
            </w:r>
          </w:p>
          <w:p w:rsidR="001807F7" w:rsidRDefault="001807F7" w:rsidP="00D93274">
            <w:pPr>
              <w:pStyle w:val="ConsPlusNormal"/>
            </w:pPr>
            <w:r>
              <w:t xml:space="preserve">15 рабочих дней (если в заявке не указан более продолжительный срок) - при временном технологическом присоединении заявителей, </w:t>
            </w:r>
            <w:proofErr w:type="spellStart"/>
            <w:r>
              <w:t>энергопринимающие</w:t>
            </w:r>
            <w:proofErr w:type="spellEnd"/>
            <w:r>
              <w:t xml:space="preserve"> устройства которых являются передвижными и имеют максимальную мощность до 150 к</w:t>
            </w:r>
            <w:proofErr w:type="gramStart"/>
            <w:r>
              <w:t>Вт вкл</w:t>
            </w:r>
            <w:proofErr w:type="gramEnd"/>
            <w:r>
              <w:t xml:space="preserve">ючительно, если расстояние от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заявителя до существующих электрических сетей необходимого класса напряжения составляет не более 300 метров;</w:t>
            </w:r>
          </w:p>
          <w:p w:rsidR="001807F7" w:rsidRDefault="001807F7" w:rsidP="00D93274">
            <w:pPr>
              <w:pStyle w:val="ConsPlusNormal"/>
            </w:pPr>
            <w:proofErr w:type="gramStart"/>
            <w:r>
              <w:t xml:space="preserve">6 месяцев - для заявителей, указанных в </w:t>
            </w:r>
            <w:hyperlink r:id="rId5" w:history="1">
              <w:r>
                <w:rPr>
                  <w:color w:val="0000FF"/>
                </w:rPr>
                <w:t>пунктах 12(1)</w:t>
              </w:r>
            </w:hyperlink>
            <w:r>
              <w:t xml:space="preserve">, </w:t>
            </w:r>
            <w:hyperlink r:id="rId6" w:history="1">
              <w:r>
                <w:rPr>
                  <w:color w:val="0000FF"/>
                </w:rPr>
                <w:t>14</w:t>
              </w:r>
            </w:hyperlink>
            <w:r>
              <w:t xml:space="preserve"> и </w:t>
            </w:r>
            <w:hyperlink r:id="rId7" w:history="1">
              <w:r>
                <w:rPr>
                  <w:color w:val="0000FF"/>
                </w:rPr>
                <w:t>34</w:t>
              </w:r>
            </w:hyperlink>
            <w:r>
              <w:t xml:space="preserve"> Правил технологического присоединения,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>
              <w:t>энергопринимающие</w:t>
            </w:r>
            <w:proofErr w:type="spellEnd"/>
            <w:r>
              <w:t xml:space="preserve"> устройства, составляет не более 300 метров в городах и поселках городского</w:t>
            </w:r>
            <w:proofErr w:type="gramEnd"/>
            <w:r>
              <w:t xml:space="preserve"> типа и не более 500 метров в сельской местности;</w:t>
            </w:r>
          </w:p>
          <w:p w:rsidR="001807F7" w:rsidRDefault="001807F7" w:rsidP="00D93274">
            <w:pPr>
              <w:pStyle w:val="ConsPlusNormal"/>
            </w:pPr>
            <w:r>
              <w:t xml:space="preserve">1 год - для заявителей,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      </w:r>
          </w:p>
          <w:p w:rsidR="001807F7" w:rsidRDefault="001807F7" w:rsidP="00D93274">
            <w:pPr>
              <w:pStyle w:val="ConsPlusNormal"/>
            </w:pPr>
            <w:r>
              <w:lastRenderedPageBreak/>
              <w:t xml:space="preserve">2 года - для заявителей,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сторон;</w:t>
            </w:r>
          </w:p>
        </w:tc>
      </w:tr>
      <w:tr w:rsidR="001807F7" w:rsidTr="00D93274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7" w:rsidRDefault="001807F7" w:rsidP="00D93274">
            <w:pPr>
              <w:pStyle w:val="ConsPlusNormal"/>
            </w:pPr>
            <w:r>
              <w:lastRenderedPageBreak/>
              <w:t xml:space="preserve">в) положение об ответственности сторон за несоблюдение установленных договором и </w:t>
            </w:r>
            <w:hyperlink r:id="rId8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технологического присоединения сроков исполнения своих обязательств, в том числе:</w:t>
            </w:r>
          </w:p>
          <w:p w:rsidR="001807F7" w:rsidRDefault="001807F7" w:rsidP="00D93274">
            <w:pPr>
              <w:pStyle w:val="ConsPlusNormal"/>
            </w:pPr>
            <w: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1807F7" w:rsidRDefault="001807F7" w:rsidP="00D93274">
            <w:pPr>
              <w:pStyle w:val="ConsPlusNormal"/>
            </w:pPr>
            <w:proofErr w:type="gramStart"/>
            <w:r>
              <w:t xml:space="preserve"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</w:t>
            </w:r>
            <w:hyperlink r:id="rId9" w:history="1">
              <w:r>
                <w:rPr>
                  <w:color w:val="0000FF"/>
                </w:rPr>
                <w:t>ставки рефинансирования</w:t>
              </w:r>
            </w:hyperlink>
            <w:r>
              <w:t xml:space="preserve">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1807F7" w:rsidRDefault="001807F7" w:rsidP="00D93274">
            <w:pPr>
              <w:pStyle w:val="ConsPlusNormal"/>
            </w:pPr>
            <w: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1807F7" w:rsidRDefault="001807F7" w:rsidP="00D93274">
            <w:pPr>
              <w:pStyle w:val="ConsPlusNormal"/>
            </w:pPr>
            <w:proofErr w:type="spellStart"/>
            <w:r>
              <w:t>д</w:t>
            </w:r>
            <w:proofErr w:type="spellEnd"/>
            <w:r>
              <w:t xml:space="preserve">) размер платы за технологическое присоединение, определяемый в соответствии с законодательством Российской Федерации в сфере электроэнергетики (при осуществлении технологического присоединения по </w:t>
            </w:r>
            <w:proofErr w:type="gramStart"/>
            <w:r>
              <w:t>индивидуальному проекту</w:t>
            </w:r>
            <w:proofErr w:type="gramEnd"/>
            <w:r>
              <w:t xml:space="preserve"> размер платы за технологическое присоединение определяется с учетом особенностей, установленных </w:t>
            </w:r>
            <w:hyperlink r:id="rId10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Правил технологического присоединения); </w:t>
            </w:r>
            <w:hyperlink w:anchor="P1268" w:history="1">
              <w:r>
                <w:rPr>
                  <w:color w:val="0000FF"/>
                </w:rPr>
                <w:t>&lt;*&gt;</w:t>
              </w:r>
            </w:hyperlink>
          </w:p>
          <w:p w:rsidR="001807F7" w:rsidRDefault="001807F7" w:rsidP="00D93274">
            <w:pPr>
              <w:pStyle w:val="ConsPlusNormal"/>
            </w:pPr>
            <w:r>
              <w:t xml:space="preserve">е) порядок и сроки внесения заявителем платы за технологическое присоединение </w:t>
            </w:r>
            <w:hyperlink w:anchor="P1269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1807F7" w:rsidRDefault="001807F7" w:rsidP="001807F7">
      <w:pPr>
        <w:pStyle w:val="ConsPlusNormal"/>
        <w:jc w:val="both"/>
      </w:pPr>
    </w:p>
    <w:p w:rsidR="001807F7" w:rsidRDefault="001807F7" w:rsidP="001807F7">
      <w:pPr>
        <w:pStyle w:val="ConsPlusNormal"/>
        <w:ind w:firstLine="540"/>
        <w:jc w:val="both"/>
      </w:pPr>
      <w:r>
        <w:t>--------------------------------</w:t>
      </w:r>
    </w:p>
    <w:p w:rsidR="001807F7" w:rsidRDefault="001807F7" w:rsidP="001807F7">
      <w:pPr>
        <w:pStyle w:val="ConsPlusNormal"/>
        <w:ind w:firstLine="540"/>
        <w:jc w:val="both"/>
      </w:pPr>
      <w:bookmarkStart w:id="1" w:name="P1268"/>
      <w:bookmarkEnd w:id="1"/>
      <w:r>
        <w:t>&lt;*&gt; Размер платы за подключение определяется в соответствии с нормативным правовым актом органа регулирования Калужской области.</w:t>
      </w:r>
    </w:p>
    <w:p w:rsidR="001807F7" w:rsidRDefault="001807F7" w:rsidP="001807F7">
      <w:pPr>
        <w:pStyle w:val="ConsPlusNormal"/>
        <w:ind w:firstLine="540"/>
        <w:jc w:val="both"/>
      </w:pPr>
      <w:bookmarkStart w:id="2" w:name="P1269"/>
      <w:bookmarkEnd w:id="2"/>
      <w:r>
        <w:t xml:space="preserve">&lt;**&gt; Порядок и сроки внесения заявителем платы за подключение установлены </w:t>
      </w:r>
      <w:hyperlink r:id="rId11" w:history="1">
        <w:r>
          <w:rPr>
            <w:color w:val="0000FF"/>
          </w:rPr>
          <w:t>пунктами 16(2)</w:t>
        </w:r>
      </w:hyperlink>
      <w:r>
        <w:t xml:space="preserve"> и </w:t>
      </w:r>
      <w:hyperlink r:id="rId12" w:history="1">
        <w:r>
          <w:rPr>
            <w:color w:val="0000FF"/>
          </w:rPr>
          <w:t>16(4)</w:t>
        </w:r>
      </w:hyperlink>
      <w:r>
        <w:t xml:space="preserve"> Правил технологического присоединения.</w:t>
      </w:r>
    </w:p>
    <w:p w:rsidR="001807F7" w:rsidRDefault="001807F7" w:rsidP="001807F7">
      <w:pPr>
        <w:pStyle w:val="ConsPlusNormal"/>
        <w:jc w:val="both"/>
      </w:pPr>
    </w:p>
    <w:p w:rsidR="00B5214D" w:rsidRDefault="00B5214D"/>
    <w:sectPr w:rsidR="00B5214D" w:rsidSect="00195664">
      <w:pgSz w:w="11905" w:h="16838"/>
      <w:pgMar w:top="1134" w:right="426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1807F7"/>
    <w:rsid w:val="001807F7"/>
    <w:rsid w:val="00B5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F01EC494FAF15D3BD0184F440E78197689C92B5B6D91559C8C38357274815B88C72B677DA45D911d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9F01EC494FAF15D3BD0184F440E78197689C92B5B6D91559C8C38357274815B88C72B677DB43D611d0N" TargetMode="External"/><Relationship Id="rId12" Type="http://schemas.openxmlformats.org/officeDocument/2006/relationships/hyperlink" Target="consultantplus://offline/ref=139F01EC494FAF15D3BD0184F440E78197689C92B5B6D91559C8C38357274815B88C72B677DB43DE11d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F01EC494FAF15D3BD0184F440E78197689C92B5B6D91559C8C38357274815B88C72B677DB42D611d0N" TargetMode="External"/><Relationship Id="rId11" Type="http://schemas.openxmlformats.org/officeDocument/2006/relationships/hyperlink" Target="consultantplus://offline/ref=139F01EC494FAF15D3BD0184F440E78197689C92B5B6D91559C8C38357274815B88C72B3731DdBN" TargetMode="External"/><Relationship Id="rId5" Type="http://schemas.openxmlformats.org/officeDocument/2006/relationships/hyperlink" Target="consultantplus://offline/ref=139F01EC494FAF15D3BD0184F440E78197689C92B5B6D91559C8C38357274815B88C72B3741DdCN" TargetMode="External"/><Relationship Id="rId10" Type="http://schemas.openxmlformats.org/officeDocument/2006/relationships/hyperlink" Target="consultantplus://offline/ref=139F01EC494FAF15D3BD0184F440E78197689C92B5B6D91559C8C38357274815B88C72B417dFN" TargetMode="External"/><Relationship Id="rId4" Type="http://schemas.openxmlformats.org/officeDocument/2006/relationships/hyperlink" Target="consultantplus://offline/ref=139F01EC494FAF15D3BD0184F440E78197689C92B5B6D91559C8C38357274815B88C72B677DA4ADC11d2N" TargetMode="External"/><Relationship Id="rId9" Type="http://schemas.openxmlformats.org/officeDocument/2006/relationships/hyperlink" Target="consultantplus://offline/ref=139F01EC494FAF15D3BD0184F440E78197629A92B4BD841F5191CF8115d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5813</Characters>
  <Application>Microsoft Office Word</Application>
  <DocSecurity>0</DocSecurity>
  <Lines>48</Lines>
  <Paragraphs>13</Paragraphs>
  <ScaleCrop>false</ScaleCrop>
  <Company>Microsoft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1</cp:revision>
  <dcterms:created xsi:type="dcterms:W3CDTF">2016-02-11T05:58:00Z</dcterms:created>
  <dcterms:modified xsi:type="dcterms:W3CDTF">2016-02-11T05:59:00Z</dcterms:modified>
</cp:coreProperties>
</file>