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F" w:rsidRDefault="0052524F" w:rsidP="0052524F">
      <w:pPr>
        <w:pStyle w:val="a3"/>
        <w:jc w:val="right"/>
      </w:pPr>
      <w:r>
        <w:t>Таблица 3.2</w:t>
      </w:r>
    </w:p>
    <w:p w:rsidR="0052524F" w:rsidRDefault="0052524F" w:rsidP="0052524F">
      <w:pPr>
        <w:pStyle w:val="a3"/>
      </w:pPr>
    </w:p>
    <w:p w:rsidR="0052524F" w:rsidRPr="00882C4D" w:rsidRDefault="0052524F" w:rsidP="0052524F">
      <w:pPr>
        <w:pStyle w:val="a3"/>
        <w:jc w:val="center"/>
        <w:rPr>
          <w:sz w:val="26"/>
          <w:szCs w:val="26"/>
        </w:rPr>
      </w:pPr>
      <w:r w:rsidRPr="00882C4D">
        <w:rPr>
          <w:sz w:val="26"/>
          <w:szCs w:val="26"/>
        </w:rPr>
        <w:t>Ставки за единицу максимальной мощности для расчета платы</w:t>
      </w:r>
    </w:p>
    <w:p w:rsidR="0052524F" w:rsidRPr="00882C4D" w:rsidRDefault="0052524F" w:rsidP="0052524F">
      <w:pPr>
        <w:pStyle w:val="a3"/>
        <w:jc w:val="center"/>
        <w:rPr>
          <w:sz w:val="26"/>
          <w:szCs w:val="26"/>
        </w:rPr>
      </w:pPr>
      <w:r w:rsidRPr="00882C4D">
        <w:rPr>
          <w:sz w:val="26"/>
          <w:szCs w:val="26"/>
        </w:rPr>
        <w:t>за технологическое присоединение к электрическим сетям Муниципального пре</w:t>
      </w:r>
      <w:r w:rsidRPr="00882C4D">
        <w:rPr>
          <w:sz w:val="26"/>
          <w:szCs w:val="26"/>
        </w:rPr>
        <w:t>д</w:t>
      </w:r>
      <w:r w:rsidRPr="00882C4D">
        <w:rPr>
          <w:sz w:val="26"/>
          <w:szCs w:val="26"/>
        </w:rPr>
        <w:t>приятия города Обнинска Калужской области «Горэлектросети»</w:t>
      </w:r>
    </w:p>
    <w:p w:rsidR="0052524F" w:rsidRPr="00882C4D" w:rsidRDefault="0052524F" w:rsidP="0052524F">
      <w:pPr>
        <w:pStyle w:val="a3"/>
        <w:jc w:val="center"/>
        <w:rPr>
          <w:sz w:val="26"/>
          <w:szCs w:val="26"/>
        </w:rPr>
      </w:pPr>
      <w:r w:rsidRPr="00882C4D">
        <w:rPr>
          <w:sz w:val="26"/>
          <w:szCs w:val="26"/>
        </w:rPr>
        <w:t>на уровне напряжения ниже 35 кВ и максимальной мощности менее 8 900 кВт &lt;1&gt;</w:t>
      </w:r>
    </w:p>
    <w:tbl>
      <w:tblPr>
        <w:tblW w:w="5220" w:type="dxa"/>
        <w:jc w:val="right"/>
        <w:tblLook w:val="01E0"/>
      </w:tblPr>
      <w:tblGrid>
        <w:gridCol w:w="5220"/>
      </w:tblGrid>
      <w:tr w:rsidR="00BC292C" w:rsidRPr="00D56DFF" w:rsidTr="00196D0C">
        <w:trPr>
          <w:jc w:val="right"/>
        </w:trPr>
        <w:tc>
          <w:tcPr>
            <w:tcW w:w="5220" w:type="dxa"/>
            <w:shd w:val="clear" w:color="auto" w:fill="auto"/>
          </w:tcPr>
          <w:p w:rsidR="00BC292C" w:rsidRDefault="00BC292C" w:rsidP="00BC29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C292C" w:rsidRDefault="00BC292C" w:rsidP="00196D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C292C" w:rsidRPr="00B03936" w:rsidRDefault="00BC292C" w:rsidP="00196D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03936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</w:p>
          <w:p w:rsidR="00BC292C" w:rsidRDefault="00BC292C" w:rsidP="00196D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87948">
              <w:rPr>
                <w:sz w:val="26"/>
                <w:szCs w:val="26"/>
              </w:rPr>
              <w:t>к приказу министерства</w:t>
            </w:r>
          </w:p>
          <w:p w:rsidR="00BC292C" w:rsidRPr="00787948" w:rsidRDefault="00BC292C" w:rsidP="00196D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87948">
              <w:rPr>
                <w:sz w:val="26"/>
                <w:szCs w:val="26"/>
              </w:rPr>
              <w:t>конкурентной политики</w:t>
            </w:r>
          </w:p>
          <w:p w:rsidR="00BC292C" w:rsidRPr="00787948" w:rsidRDefault="00BC292C" w:rsidP="00196D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87948">
              <w:rPr>
                <w:sz w:val="26"/>
                <w:szCs w:val="26"/>
              </w:rPr>
              <w:t>Калужской области</w:t>
            </w:r>
          </w:p>
          <w:p w:rsidR="00BC292C" w:rsidRDefault="00BC292C" w:rsidP="00196D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87948">
              <w:rPr>
                <w:sz w:val="26"/>
                <w:szCs w:val="26"/>
              </w:rPr>
              <w:t>от 27.12.2016 № 397-РК</w:t>
            </w:r>
          </w:p>
          <w:p w:rsidR="00BC292C" w:rsidRPr="00B03936" w:rsidRDefault="00BC292C" w:rsidP="00196D0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BC292C" w:rsidRPr="00D56DFF" w:rsidRDefault="00BC292C" w:rsidP="00BC292C">
      <w:pPr>
        <w:widowControl w:val="0"/>
        <w:autoSpaceDE w:val="0"/>
        <w:autoSpaceDN w:val="0"/>
        <w:adjustRightInd w:val="0"/>
        <w:ind w:right="140"/>
        <w:jc w:val="center"/>
        <w:outlineLvl w:val="1"/>
        <w:rPr>
          <w:b/>
          <w:sz w:val="26"/>
          <w:szCs w:val="26"/>
        </w:rPr>
      </w:pPr>
    </w:p>
    <w:p w:rsidR="00BC292C" w:rsidRPr="00000D85" w:rsidRDefault="00BC292C" w:rsidP="00BC292C">
      <w:pPr>
        <w:widowControl w:val="0"/>
        <w:autoSpaceDE w:val="0"/>
        <w:autoSpaceDN w:val="0"/>
        <w:adjustRightInd w:val="0"/>
        <w:ind w:right="140" w:firstLine="709"/>
        <w:jc w:val="right"/>
        <w:rPr>
          <w:bCs/>
          <w:sz w:val="20"/>
          <w:szCs w:val="20"/>
        </w:rPr>
      </w:pPr>
      <w:r w:rsidRPr="00000D85">
        <w:rPr>
          <w:bCs/>
          <w:sz w:val="20"/>
          <w:szCs w:val="20"/>
        </w:rPr>
        <w:t>руб./кВт (без НДС)</w:t>
      </w:r>
    </w:p>
    <w:tbl>
      <w:tblPr>
        <w:tblW w:w="1021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544"/>
        <w:gridCol w:w="992"/>
        <w:gridCol w:w="1276"/>
        <w:gridCol w:w="1276"/>
        <w:gridCol w:w="2555"/>
      </w:tblGrid>
      <w:tr w:rsidR="00BC292C" w:rsidTr="00196D0C">
        <w:trPr>
          <w:trHeight w:val="283"/>
          <w:jc w:val="center"/>
        </w:trPr>
        <w:tc>
          <w:tcPr>
            <w:tcW w:w="573" w:type="dxa"/>
            <w:vMerge w:val="restart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08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0860">
              <w:rPr>
                <w:sz w:val="20"/>
                <w:szCs w:val="20"/>
              </w:rPr>
              <w:t>/</w:t>
            </w:r>
            <w:proofErr w:type="spellStart"/>
            <w:r w:rsidRPr="00F708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Уровень напр</w:t>
            </w:r>
            <w:r w:rsidRPr="00F70860">
              <w:rPr>
                <w:sz w:val="20"/>
                <w:szCs w:val="20"/>
              </w:rPr>
              <w:t>я</w:t>
            </w:r>
            <w:r w:rsidRPr="00F70860">
              <w:rPr>
                <w:sz w:val="20"/>
                <w:szCs w:val="20"/>
              </w:rPr>
              <w:t>жения</w:t>
            </w:r>
          </w:p>
        </w:tc>
        <w:tc>
          <w:tcPr>
            <w:tcW w:w="5107" w:type="dxa"/>
            <w:gridSpan w:val="3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90035">
              <w:rPr>
                <w:sz w:val="20"/>
                <w:szCs w:val="20"/>
              </w:rPr>
              <w:t>бъем максимальный мощности</w:t>
            </w:r>
          </w:p>
        </w:tc>
      </w:tr>
      <w:tr w:rsidR="00BC292C" w:rsidTr="00196D0C">
        <w:trPr>
          <w:trHeight w:val="690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C292C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до 15</w:t>
            </w:r>
            <w:r>
              <w:rPr>
                <w:sz w:val="20"/>
                <w:szCs w:val="20"/>
              </w:rPr>
              <w:t>0</w:t>
            </w:r>
            <w:r w:rsidRPr="00F70860">
              <w:rPr>
                <w:sz w:val="20"/>
                <w:szCs w:val="20"/>
              </w:rPr>
              <w:t xml:space="preserve"> кВт</w:t>
            </w:r>
          </w:p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(включительно)         </w:t>
            </w:r>
          </w:p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BC292C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</w:t>
            </w:r>
            <w:r w:rsidRPr="00F70860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  <w:r w:rsidRPr="00F70860">
              <w:rPr>
                <w:sz w:val="20"/>
                <w:szCs w:val="20"/>
              </w:rPr>
              <w:t xml:space="preserve"> кВт</w:t>
            </w:r>
          </w:p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8 900 кВт</w:t>
            </w:r>
          </w:p>
        </w:tc>
      </w:tr>
      <w:tr w:rsidR="00BC292C" w:rsidTr="00196D0C">
        <w:trPr>
          <w:trHeight w:val="690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 по 30.09.2017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92C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 по 31.12.2017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BC292C" w:rsidRDefault="00BC292C" w:rsidP="00196D0C">
            <w:pPr>
              <w:jc w:val="center"/>
              <w:rPr>
                <w:sz w:val="20"/>
                <w:szCs w:val="20"/>
              </w:rPr>
            </w:pPr>
          </w:p>
        </w:tc>
      </w:tr>
      <w:tr w:rsidR="00BC292C" w:rsidTr="00196D0C">
        <w:trPr>
          <w:trHeight w:val="69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Подготовка и выдача сетевой орган</w:t>
            </w:r>
            <w:r w:rsidRPr="00F70860">
              <w:rPr>
                <w:sz w:val="20"/>
                <w:szCs w:val="20"/>
              </w:rPr>
              <w:t>и</w:t>
            </w:r>
            <w:r w:rsidRPr="00F70860">
              <w:rPr>
                <w:sz w:val="20"/>
                <w:szCs w:val="20"/>
              </w:rPr>
              <w:t>зацией технических условий заявит</w:t>
            </w:r>
            <w:r w:rsidRPr="00F70860">
              <w:rPr>
                <w:sz w:val="20"/>
                <w:szCs w:val="20"/>
              </w:rPr>
              <w:t>е</w:t>
            </w:r>
            <w:r w:rsidRPr="00F70860">
              <w:rPr>
                <w:sz w:val="20"/>
                <w:szCs w:val="20"/>
              </w:rPr>
              <w:t>лю (ТУ)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7" w:type="dxa"/>
            <w:gridSpan w:val="3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599,98</w:t>
            </w:r>
          </w:p>
        </w:tc>
      </w:tr>
      <w:tr w:rsidR="00BC292C" w:rsidTr="00196D0C">
        <w:trPr>
          <w:trHeight w:val="525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Разработка сетевой организацией пр</w:t>
            </w:r>
            <w:r w:rsidRPr="00F70860">
              <w:rPr>
                <w:sz w:val="20"/>
                <w:szCs w:val="20"/>
              </w:rPr>
              <w:t>о</w:t>
            </w:r>
            <w:r w:rsidRPr="00F70860">
              <w:rPr>
                <w:sz w:val="20"/>
                <w:szCs w:val="20"/>
              </w:rPr>
              <w:t>ектной документации по строительс</w:t>
            </w:r>
            <w:r w:rsidRPr="00F70860">
              <w:rPr>
                <w:sz w:val="20"/>
                <w:szCs w:val="20"/>
              </w:rPr>
              <w:t>т</w:t>
            </w:r>
            <w:r w:rsidRPr="00F70860">
              <w:rPr>
                <w:sz w:val="20"/>
                <w:szCs w:val="20"/>
              </w:rPr>
              <w:t>ву "последней мили"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92C" w:rsidTr="00196D0C">
        <w:trPr>
          <w:trHeight w:val="79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Выполнение сетевой мероприятий, связанных со строительством "п</w:t>
            </w:r>
            <w:r w:rsidRPr="00F70860">
              <w:rPr>
                <w:sz w:val="20"/>
                <w:szCs w:val="20"/>
              </w:rPr>
              <w:t>о</w:t>
            </w:r>
            <w:r w:rsidRPr="00F70860">
              <w:rPr>
                <w:sz w:val="20"/>
                <w:szCs w:val="20"/>
              </w:rPr>
              <w:t xml:space="preserve">следней мили"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92C" w:rsidTr="00196D0C">
        <w:trPr>
          <w:trHeight w:val="625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right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строительство воздушных линий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0,4 кВ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3 114,00</w:t>
            </w:r>
          </w:p>
        </w:tc>
      </w:tr>
      <w:tr w:rsidR="00BC292C" w:rsidTr="00196D0C">
        <w:trPr>
          <w:trHeight w:val="421"/>
          <w:jc w:val="center"/>
        </w:trPr>
        <w:tc>
          <w:tcPr>
            <w:tcW w:w="573" w:type="dxa"/>
            <w:vMerge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6-10 кВ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3 008,50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6 017,00</w:t>
            </w:r>
          </w:p>
        </w:tc>
      </w:tr>
      <w:tr w:rsidR="00BC292C" w:rsidTr="00196D0C">
        <w:trPr>
          <w:trHeight w:val="414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right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строительство кабельных линий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0,4 кВ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4 308,00</w:t>
            </w:r>
          </w:p>
        </w:tc>
      </w:tr>
      <w:tr w:rsidR="00BC292C" w:rsidTr="00196D0C">
        <w:trPr>
          <w:trHeight w:val="450"/>
          <w:jc w:val="center"/>
        </w:trPr>
        <w:tc>
          <w:tcPr>
            <w:tcW w:w="573" w:type="dxa"/>
            <w:vMerge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6-10 кВ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6 845,00</w:t>
            </w:r>
          </w:p>
        </w:tc>
      </w:tr>
      <w:tr w:rsidR="00BC292C" w:rsidTr="00196D0C">
        <w:trPr>
          <w:trHeight w:val="319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right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0860">
              <w:rPr>
                <w:sz w:val="20"/>
                <w:szCs w:val="20"/>
              </w:rPr>
              <w:t>троительство пунктов секциониров</w:t>
            </w:r>
            <w:r w:rsidRPr="00F70860">
              <w:rPr>
                <w:sz w:val="20"/>
                <w:szCs w:val="20"/>
              </w:rPr>
              <w:t>а</w:t>
            </w:r>
            <w:r w:rsidRPr="00F70860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</w:tr>
      <w:tr w:rsidR="00BC292C" w:rsidTr="00196D0C">
        <w:trPr>
          <w:trHeight w:val="940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30C8">
              <w:rPr>
                <w:sz w:val="20"/>
                <w:szCs w:val="20"/>
              </w:rPr>
              <w:t>троительство комплектных тран</w:t>
            </w:r>
            <w:r w:rsidRPr="001030C8">
              <w:rPr>
                <w:sz w:val="20"/>
                <w:szCs w:val="20"/>
              </w:rPr>
              <w:t>с</w:t>
            </w:r>
            <w:r w:rsidRPr="001030C8">
              <w:rPr>
                <w:sz w:val="20"/>
                <w:szCs w:val="20"/>
              </w:rPr>
              <w:t>форматорных подстанций (КТП), ра</w:t>
            </w:r>
            <w:r w:rsidRPr="001030C8">
              <w:rPr>
                <w:sz w:val="20"/>
                <w:szCs w:val="20"/>
              </w:rPr>
              <w:t>с</w:t>
            </w:r>
            <w:r w:rsidRPr="001030C8"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итель</w:t>
            </w:r>
            <w:r w:rsidRPr="001030C8">
              <w:rPr>
                <w:sz w:val="20"/>
                <w:szCs w:val="20"/>
              </w:rPr>
              <w:t>ных трансформаторных подстанций (РТП) с уровнем напр</w:t>
            </w:r>
            <w:r w:rsidRPr="001030C8">
              <w:rPr>
                <w:sz w:val="20"/>
                <w:szCs w:val="20"/>
              </w:rPr>
              <w:t>я</w:t>
            </w:r>
            <w:r w:rsidRPr="001030C8">
              <w:rPr>
                <w:sz w:val="20"/>
                <w:szCs w:val="20"/>
              </w:rPr>
              <w:t>жения до 35 кВ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  <w:r w:rsidRPr="001030C8">
              <w:rPr>
                <w:sz w:val="20"/>
                <w:szCs w:val="20"/>
              </w:rPr>
              <w:t>кВ</w:t>
            </w:r>
          </w:p>
        </w:tc>
        <w:tc>
          <w:tcPr>
            <w:tcW w:w="5107" w:type="dxa"/>
            <w:gridSpan w:val="3"/>
            <w:shd w:val="clear" w:color="000000" w:fill="FFFFFF"/>
            <w:vAlign w:val="center"/>
          </w:tcPr>
          <w:p w:rsidR="00BC292C" w:rsidRPr="001030C8" w:rsidRDefault="00BC292C" w:rsidP="00196D0C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  <w:r w:rsidRPr="001030C8">
              <w:rPr>
                <w:sz w:val="20"/>
                <w:szCs w:val="20"/>
              </w:rPr>
              <w:t xml:space="preserve">Ставки равны </w:t>
            </w:r>
            <w:proofErr w:type="gramStart"/>
            <w:r w:rsidRPr="001030C8">
              <w:rPr>
                <w:sz w:val="20"/>
                <w:szCs w:val="20"/>
              </w:rPr>
              <w:t>стандартизированным</w:t>
            </w:r>
            <w:proofErr w:type="gramEnd"/>
          </w:p>
          <w:p w:rsidR="00BC292C" w:rsidRPr="001030C8" w:rsidRDefault="00BC292C" w:rsidP="00196D0C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  <w:r w:rsidRPr="001030C8">
              <w:rPr>
                <w:sz w:val="20"/>
                <w:szCs w:val="20"/>
              </w:rPr>
              <w:t>тарифным ставкам С</w:t>
            </w:r>
            <w:proofErr w:type="gramStart"/>
            <w:r w:rsidRPr="001030C8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030C8">
              <w:rPr>
                <w:sz w:val="20"/>
                <w:szCs w:val="20"/>
              </w:rPr>
              <w:t xml:space="preserve">(приложение № </w:t>
            </w:r>
            <w:r>
              <w:rPr>
                <w:sz w:val="20"/>
                <w:szCs w:val="20"/>
              </w:rPr>
              <w:t>2</w:t>
            </w:r>
          </w:p>
          <w:p w:rsidR="00BC292C" w:rsidRPr="00F70860" w:rsidRDefault="00BC292C" w:rsidP="00196D0C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  <w:r w:rsidRPr="001030C8">
              <w:rPr>
                <w:sz w:val="20"/>
                <w:szCs w:val="20"/>
              </w:rPr>
              <w:t>к настоящему приказу) &lt;2&gt;</w:t>
            </w:r>
          </w:p>
        </w:tc>
      </w:tr>
      <w:tr w:rsidR="00BC292C" w:rsidTr="00196D0C">
        <w:trPr>
          <w:trHeight w:val="70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30C8">
              <w:rPr>
                <w:sz w:val="20"/>
                <w:szCs w:val="20"/>
              </w:rPr>
              <w:t>троительство центров питания, по</w:t>
            </w:r>
            <w:r w:rsidRPr="001030C8">
              <w:rPr>
                <w:sz w:val="20"/>
                <w:szCs w:val="20"/>
              </w:rPr>
              <w:t>д</w:t>
            </w:r>
            <w:r w:rsidRPr="001030C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танций уровнем напряжения </w:t>
            </w:r>
            <w:r w:rsidRPr="001030C8">
              <w:rPr>
                <w:sz w:val="20"/>
                <w:szCs w:val="20"/>
              </w:rPr>
              <w:t>35 кВ и выше (ПС)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BC292C" w:rsidRPr="00F70860" w:rsidRDefault="00BC292C" w:rsidP="00196D0C">
            <w:pPr>
              <w:tabs>
                <w:tab w:val="left" w:pos="1451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92C" w:rsidTr="00196D0C">
        <w:trPr>
          <w:trHeight w:val="585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сетевой организацией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З</w:t>
            </w:r>
            <w:r w:rsidRPr="00F70860">
              <w:rPr>
                <w:sz w:val="20"/>
                <w:szCs w:val="20"/>
              </w:rPr>
              <w:t>аявителем 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7" w:type="dxa"/>
            <w:gridSpan w:val="3"/>
            <w:shd w:val="clear" w:color="auto" w:fill="auto"/>
            <w:vAlign w:val="center"/>
          </w:tcPr>
          <w:p w:rsidR="00BC292C" w:rsidRPr="00F70860" w:rsidRDefault="00BC292C" w:rsidP="00196D0C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</w:tr>
      <w:tr w:rsidR="00BC292C" w:rsidTr="00196D0C">
        <w:trPr>
          <w:trHeight w:val="976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 w:rsidRPr="008F43EE">
              <w:rPr>
                <w:sz w:val="20"/>
                <w:szCs w:val="20"/>
              </w:rPr>
              <w:t>Участие сетевой орга</w:t>
            </w:r>
            <w:r>
              <w:rPr>
                <w:sz w:val="20"/>
                <w:szCs w:val="20"/>
              </w:rPr>
              <w:t>низации в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мотре </w:t>
            </w:r>
            <w:r w:rsidRPr="008F43EE">
              <w:rPr>
                <w:sz w:val="20"/>
                <w:szCs w:val="20"/>
              </w:rPr>
              <w:t xml:space="preserve"> должностным лицом органа федерального государственного эне</w:t>
            </w:r>
            <w:r w:rsidRPr="008F43EE">
              <w:rPr>
                <w:sz w:val="20"/>
                <w:szCs w:val="20"/>
              </w:rPr>
              <w:t>р</w:t>
            </w:r>
            <w:r w:rsidRPr="008F43EE">
              <w:rPr>
                <w:sz w:val="20"/>
                <w:szCs w:val="20"/>
              </w:rPr>
              <w:t xml:space="preserve">гетического надзора присоединяемых </w:t>
            </w:r>
            <w:r w:rsidRPr="008F43EE">
              <w:rPr>
                <w:sz w:val="20"/>
                <w:szCs w:val="20"/>
              </w:rPr>
              <w:lastRenderedPageBreak/>
              <w:t xml:space="preserve">Устройств </w:t>
            </w:r>
            <w:r>
              <w:rPr>
                <w:sz w:val="20"/>
                <w:szCs w:val="20"/>
              </w:rPr>
              <w:t xml:space="preserve">Заявителя </w:t>
            </w:r>
            <w:r w:rsidRPr="00F7086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</w:t>
            </w:r>
            <w:r w:rsidRPr="00F70860">
              <w:rPr>
                <w:sz w:val="20"/>
                <w:szCs w:val="20"/>
              </w:rPr>
              <w:t xml:space="preserve">&gt;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2C" w:rsidRPr="00F70860" w:rsidRDefault="00BC292C" w:rsidP="00196D0C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</w:tr>
      <w:tr w:rsidR="00BC292C" w:rsidTr="00196D0C">
        <w:trPr>
          <w:trHeight w:val="775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292C" w:rsidRPr="00F70860" w:rsidRDefault="00BC292C" w:rsidP="00196D0C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Фактические действия по прис</w:t>
            </w:r>
            <w:r>
              <w:rPr>
                <w:sz w:val="20"/>
                <w:szCs w:val="20"/>
              </w:rPr>
              <w:t>оед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нению и обеспечению работы У</w:t>
            </w:r>
            <w:r w:rsidRPr="00F70860">
              <w:rPr>
                <w:sz w:val="20"/>
                <w:szCs w:val="20"/>
              </w:rPr>
              <w:t>с</w:t>
            </w:r>
            <w:r w:rsidRPr="00F70860">
              <w:rPr>
                <w:sz w:val="20"/>
                <w:szCs w:val="20"/>
              </w:rPr>
              <w:t>т</w:t>
            </w:r>
            <w:r w:rsidRPr="00F70860">
              <w:rPr>
                <w:sz w:val="20"/>
                <w:szCs w:val="20"/>
              </w:rPr>
              <w:t>ройств в электрической сети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92C" w:rsidRPr="00F70860" w:rsidRDefault="00BC292C" w:rsidP="00196D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92C" w:rsidRPr="00F70860" w:rsidRDefault="00BC292C" w:rsidP="00196D0C">
            <w:pPr>
              <w:tabs>
                <w:tab w:val="left" w:pos="14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617,90</w:t>
            </w:r>
          </w:p>
        </w:tc>
      </w:tr>
    </w:tbl>
    <w:p w:rsidR="00BC292C" w:rsidRPr="00000D85" w:rsidRDefault="00BC292C" w:rsidP="00BC292C">
      <w:pPr>
        <w:widowControl w:val="0"/>
        <w:autoSpaceDE w:val="0"/>
        <w:autoSpaceDN w:val="0"/>
        <w:adjustRightInd w:val="0"/>
        <w:ind w:right="140" w:firstLine="709"/>
        <w:jc w:val="right"/>
        <w:rPr>
          <w:bCs/>
          <w:sz w:val="20"/>
          <w:szCs w:val="20"/>
        </w:rPr>
      </w:pPr>
    </w:p>
    <w:p w:rsidR="00BC292C" w:rsidRPr="000A18E3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A18E3">
        <w:rPr>
          <w:bCs/>
          <w:sz w:val="26"/>
          <w:szCs w:val="26"/>
        </w:rPr>
        <w:t>&lt;1</w:t>
      </w:r>
      <w:proofErr w:type="gramStart"/>
      <w:r w:rsidRPr="000A18E3">
        <w:rPr>
          <w:bCs/>
          <w:sz w:val="26"/>
          <w:szCs w:val="26"/>
        </w:rPr>
        <w:t>&gt; П</w:t>
      </w:r>
      <w:proofErr w:type="gramEnd"/>
      <w:r w:rsidRPr="000A18E3">
        <w:rPr>
          <w:bCs/>
          <w:sz w:val="26"/>
          <w:szCs w:val="26"/>
        </w:rPr>
        <w:t>рименяются для расчета платы за технологическое присоединение к электрическим сетям при временной и постоянной схемах электроснабжения.</w:t>
      </w:r>
    </w:p>
    <w:p w:rsidR="00BC292C" w:rsidRDefault="00BC292C" w:rsidP="00BC292C">
      <w:pPr>
        <w:ind w:firstLine="709"/>
        <w:jc w:val="both"/>
        <w:rPr>
          <w:sz w:val="26"/>
          <w:szCs w:val="26"/>
        </w:rPr>
      </w:pPr>
      <w:proofErr w:type="gramStart"/>
      <w:r w:rsidRPr="000A18E3">
        <w:rPr>
          <w:sz w:val="26"/>
          <w:szCs w:val="26"/>
        </w:rPr>
        <w:t>&lt;2&gt; Указанные ставки</w:t>
      </w:r>
      <w:r>
        <w:rPr>
          <w:sz w:val="26"/>
          <w:szCs w:val="26"/>
        </w:rPr>
        <w:t xml:space="preserve"> рассчитаны в ценах 2001 года и </w:t>
      </w:r>
      <w:r w:rsidRPr="00F8400D">
        <w:rPr>
          <w:sz w:val="26"/>
          <w:szCs w:val="26"/>
        </w:rPr>
        <w:t>привод</w:t>
      </w:r>
      <w:r>
        <w:rPr>
          <w:sz w:val="26"/>
          <w:szCs w:val="26"/>
        </w:rPr>
        <w:t>я</w:t>
      </w:r>
      <w:r w:rsidRPr="00F8400D">
        <w:rPr>
          <w:sz w:val="26"/>
          <w:szCs w:val="26"/>
        </w:rPr>
        <w:t>тся к ценам регулируемого периода с применением индекса изменения сметной стоимости</w:t>
      </w:r>
      <w:r>
        <w:rPr>
          <w:sz w:val="26"/>
          <w:szCs w:val="26"/>
        </w:rPr>
        <w:t xml:space="preserve"> по </w:t>
      </w:r>
      <w:r w:rsidRPr="00E25FFC">
        <w:rPr>
          <w:sz w:val="26"/>
          <w:szCs w:val="26"/>
        </w:rPr>
        <w:t>строительно-монтажны</w:t>
      </w:r>
      <w:r>
        <w:rPr>
          <w:sz w:val="26"/>
          <w:szCs w:val="26"/>
        </w:rPr>
        <w:t>м</w:t>
      </w:r>
      <w:r w:rsidRPr="00E25FF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ам, определяемого федеральным органом исполн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тельной власти в рамках реализации полномочий в области сметного нормиров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и ценообразования в сфере градостроительной деятельности для Калужской области, </w:t>
      </w:r>
      <w:r w:rsidRPr="00E25FFC">
        <w:rPr>
          <w:sz w:val="26"/>
          <w:szCs w:val="26"/>
        </w:rPr>
        <w:t xml:space="preserve">на квартал, предшествующий кварталу, </w:t>
      </w:r>
      <w:r>
        <w:rPr>
          <w:sz w:val="26"/>
          <w:szCs w:val="26"/>
        </w:rPr>
        <w:t xml:space="preserve">в котором рассчитывается плата за технологическое присоединение. </w:t>
      </w:r>
      <w:proofErr w:type="gramEnd"/>
    </w:p>
    <w:p w:rsidR="00BC292C" w:rsidRPr="000A18E3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E3">
        <w:rPr>
          <w:sz w:val="26"/>
          <w:szCs w:val="26"/>
        </w:rPr>
        <w:t>&lt;3&gt; Данные расходы не учитываются при расчёте платы за технологическое присоединение:</w:t>
      </w:r>
    </w:p>
    <w:p w:rsidR="00BC292C" w:rsidRPr="000A18E3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E3">
        <w:rPr>
          <w:sz w:val="26"/>
          <w:szCs w:val="26"/>
        </w:rPr>
        <w:t xml:space="preserve">- для заявителей – юридических лиц или индивидуальных предпринимателей в целях технологического присоединения по </w:t>
      </w:r>
      <w:r>
        <w:rPr>
          <w:sz w:val="26"/>
          <w:szCs w:val="26"/>
        </w:rPr>
        <w:t>второй и третьей категории надежн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</w:t>
      </w:r>
      <w:r w:rsidRPr="000A18E3">
        <w:rPr>
          <w:sz w:val="26"/>
          <w:szCs w:val="26"/>
        </w:rPr>
        <w:t xml:space="preserve"> электроснабжения энергопринимающих устройств, максимальная мощность которых составляет до 150 к</w:t>
      </w:r>
      <w:proofErr w:type="gramStart"/>
      <w:r w:rsidRPr="000A18E3">
        <w:rPr>
          <w:sz w:val="26"/>
          <w:szCs w:val="26"/>
        </w:rPr>
        <w:t>Вт вкл</w:t>
      </w:r>
      <w:proofErr w:type="gramEnd"/>
      <w:r w:rsidRPr="000A18E3">
        <w:rPr>
          <w:sz w:val="26"/>
          <w:szCs w:val="26"/>
        </w:rPr>
        <w:t>ючительно (с учетом ранее присоединенных в данной точке присоединения энергопринимающих устройств);</w:t>
      </w:r>
    </w:p>
    <w:p w:rsidR="00BC292C" w:rsidRPr="000A18E3" w:rsidRDefault="00BC292C" w:rsidP="00BC29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E3">
        <w:rPr>
          <w:sz w:val="26"/>
          <w:szCs w:val="26"/>
        </w:rPr>
        <w:t>- для заявителей - юридических лиц или индивидуальных предпринимателей, максимальная мощность которых составляет свыше 150 кВт и менее 670 кВт, в случае осуществления технологического присоединения энергопринимающих ус</w:t>
      </w:r>
      <w:r w:rsidRPr="000A18E3">
        <w:rPr>
          <w:sz w:val="26"/>
          <w:szCs w:val="26"/>
        </w:rPr>
        <w:t>т</w:t>
      </w:r>
      <w:r w:rsidRPr="000A18E3">
        <w:rPr>
          <w:sz w:val="26"/>
          <w:szCs w:val="26"/>
        </w:rPr>
        <w:t>ройств указанных заявителей по третьей категории надежности (по одному исто</w:t>
      </w:r>
      <w:r w:rsidRPr="000A18E3">
        <w:rPr>
          <w:sz w:val="26"/>
          <w:szCs w:val="26"/>
        </w:rPr>
        <w:t>ч</w:t>
      </w:r>
      <w:r w:rsidRPr="000A18E3">
        <w:rPr>
          <w:sz w:val="26"/>
          <w:szCs w:val="26"/>
        </w:rPr>
        <w:t>нику электроснабжения);</w:t>
      </w:r>
    </w:p>
    <w:p w:rsidR="00BC292C" w:rsidRPr="000A18E3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E3">
        <w:rPr>
          <w:sz w:val="26"/>
          <w:szCs w:val="26"/>
        </w:rPr>
        <w:t>- для заявителей в целях временного технологического присоединения;</w:t>
      </w:r>
    </w:p>
    <w:p w:rsidR="00BC292C" w:rsidRPr="000A18E3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18E3">
        <w:rPr>
          <w:sz w:val="26"/>
          <w:szCs w:val="26"/>
        </w:rPr>
        <w:t>- для заявителей –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учётом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</w:t>
      </w:r>
      <w:r w:rsidRPr="000A18E3">
        <w:rPr>
          <w:sz w:val="26"/>
          <w:szCs w:val="26"/>
        </w:rPr>
        <w:t>о</w:t>
      </w:r>
      <w:r w:rsidRPr="000A18E3">
        <w:rPr>
          <w:sz w:val="26"/>
          <w:szCs w:val="26"/>
        </w:rPr>
        <w:t>снабжение которых предусматривается по одному источнику.</w:t>
      </w:r>
      <w:proofErr w:type="gramEnd"/>
    </w:p>
    <w:p w:rsidR="00BC292C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292C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E3">
        <w:rPr>
          <w:sz w:val="26"/>
          <w:szCs w:val="26"/>
        </w:rPr>
        <w:t>Примечание.</w:t>
      </w:r>
    </w:p>
    <w:p w:rsidR="00BC292C" w:rsidRPr="004B385A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85A">
        <w:rPr>
          <w:sz w:val="26"/>
          <w:szCs w:val="26"/>
        </w:rPr>
        <w:t xml:space="preserve">Величина ставки </w:t>
      </w:r>
      <w:proofErr w:type="gramStart"/>
      <w:r w:rsidRPr="004B385A">
        <w:rPr>
          <w:sz w:val="26"/>
          <w:szCs w:val="26"/>
        </w:rPr>
        <w:t>за единицу максимальной мощности для расчета платы за технологическое присоединение определена с календарной разбивкой в соответс</w:t>
      </w:r>
      <w:r w:rsidRPr="004B385A">
        <w:rPr>
          <w:sz w:val="26"/>
          <w:szCs w:val="26"/>
        </w:rPr>
        <w:t>т</w:t>
      </w:r>
      <w:r w:rsidRPr="004B385A">
        <w:rPr>
          <w:sz w:val="26"/>
          <w:szCs w:val="26"/>
        </w:rPr>
        <w:t>вии</w:t>
      </w:r>
      <w:proofErr w:type="gramEnd"/>
      <w:r w:rsidRPr="004B385A">
        <w:rPr>
          <w:sz w:val="26"/>
          <w:szCs w:val="26"/>
        </w:rPr>
        <w:t xml:space="preserve"> с пунктом 87 Основ ценообразования в области регулируемых цен (тарифов) в электроэнергетике, утвержденных постановлением Правительства Российской Ф</w:t>
      </w:r>
      <w:r w:rsidRPr="004B385A">
        <w:rPr>
          <w:sz w:val="26"/>
          <w:szCs w:val="26"/>
        </w:rPr>
        <w:t>е</w:t>
      </w:r>
      <w:r w:rsidRPr="004B385A">
        <w:rPr>
          <w:sz w:val="26"/>
          <w:szCs w:val="26"/>
        </w:rPr>
        <w:t>дерации от 29.12.2011 № 1178, а именно:</w:t>
      </w:r>
    </w:p>
    <w:p w:rsidR="00BC292C" w:rsidRDefault="00BC292C" w:rsidP="00BC292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385A">
        <w:rPr>
          <w:sz w:val="26"/>
          <w:szCs w:val="26"/>
        </w:rPr>
        <w:t xml:space="preserve">  </w:t>
      </w:r>
      <w:proofErr w:type="gramStart"/>
      <w:r w:rsidRPr="004B385A">
        <w:rPr>
          <w:bCs/>
          <w:sz w:val="26"/>
          <w:szCs w:val="26"/>
        </w:rPr>
        <w:t>- с</w:t>
      </w:r>
      <w:r w:rsidRPr="004B385A">
        <w:rPr>
          <w:sz w:val="26"/>
          <w:szCs w:val="26"/>
        </w:rPr>
        <w:t xml:space="preserve"> 1 октября 2015 года размер включаемых в состав платы за технологич</w:t>
      </w:r>
      <w:r w:rsidRPr="004B385A">
        <w:rPr>
          <w:sz w:val="26"/>
          <w:szCs w:val="26"/>
        </w:rPr>
        <w:t>е</w:t>
      </w:r>
      <w:r w:rsidRPr="004B385A">
        <w:rPr>
          <w:sz w:val="26"/>
          <w:szCs w:val="26"/>
        </w:rPr>
        <w:t>ское присоединение энергопринимающих устройств максимальной мощностью не более чем 150 кВт (с учетом ранее присоединенной мощности) составляет 50 пр</w:t>
      </w:r>
      <w:r w:rsidRPr="004B385A">
        <w:rPr>
          <w:sz w:val="26"/>
          <w:szCs w:val="26"/>
        </w:rPr>
        <w:t>о</w:t>
      </w:r>
      <w:r w:rsidRPr="004B385A">
        <w:rPr>
          <w:sz w:val="26"/>
          <w:szCs w:val="26"/>
        </w:rPr>
        <w:t>центов инвестиционной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электроэнергетики;</w:t>
      </w:r>
      <w:proofErr w:type="gramEnd"/>
    </w:p>
    <w:p w:rsidR="00BC292C" w:rsidRDefault="00BC292C" w:rsidP="00BC29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6066B9">
        <w:rPr>
          <w:sz w:val="26"/>
          <w:szCs w:val="26"/>
        </w:rPr>
        <w:t>- с 1 октября 2017 года в состав платы за технологическое присоединение энергопринимающих устройств максимальной мощностью не более 150 кВт (с уч</w:t>
      </w:r>
      <w:r w:rsidRPr="006066B9">
        <w:rPr>
          <w:sz w:val="26"/>
          <w:szCs w:val="26"/>
        </w:rPr>
        <w:t>е</w:t>
      </w:r>
      <w:r w:rsidRPr="006066B9">
        <w:rPr>
          <w:sz w:val="26"/>
          <w:szCs w:val="26"/>
        </w:rPr>
        <w:t>том ранее присоединенной мощности) 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</w:t>
      </w:r>
    </w:p>
    <w:p w:rsidR="00BC292C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E3">
        <w:rPr>
          <w:sz w:val="26"/>
          <w:szCs w:val="26"/>
        </w:rPr>
        <w:t>В соответствии с подпунктом 2 пункта 7 Методических указаний по опред</w:t>
      </w:r>
      <w:r w:rsidRPr="000A18E3">
        <w:rPr>
          <w:sz w:val="26"/>
          <w:szCs w:val="26"/>
        </w:rPr>
        <w:t>е</w:t>
      </w:r>
      <w:r w:rsidRPr="000A18E3">
        <w:rPr>
          <w:sz w:val="26"/>
          <w:szCs w:val="26"/>
        </w:rPr>
        <w:t>лению размера платы за технологическое присоединение к электрическим сетям, утвержденных приказом Федеральной службы по тарифам от 11.09.2012   № 209-э/1, лицо,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</w:t>
      </w:r>
      <w:r w:rsidRPr="000A18E3">
        <w:rPr>
          <w:sz w:val="26"/>
          <w:szCs w:val="26"/>
        </w:rPr>
        <w:t>о</w:t>
      </w:r>
      <w:r w:rsidRPr="000A18E3">
        <w:rPr>
          <w:sz w:val="26"/>
          <w:szCs w:val="26"/>
        </w:rPr>
        <w:t>гическое присоединение. Выбор ставки платы осуществляется заявителем на ст</w:t>
      </w:r>
      <w:r w:rsidRPr="000A18E3">
        <w:rPr>
          <w:sz w:val="26"/>
          <w:szCs w:val="26"/>
        </w:rPr>
        <w:t>а</w:t>
      </w:r>
      <w:r w:rsidRPr="000A18E3">
        <w:rPr>
          <w:sz w:val="26"/>
          <w:szCs w:val="26"/>
        </w:rPr>
        <w:t>дии заключения договора об осуществлении технологического присоединения.</w:t>
      </w:r>
    </w:p>
    <w:p w:rsidR="00BC292C" w:rsidRPr="000A18E3" w:rsidRDefault="00BC292C" w:rsidP="00BC29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58C9">
        <w:rPr>
          <w:sz w:val="26"/>
          <w:szCs w:val="26"/>
        </w:rPr>
        <w:t>В случае если заявитель не выбрал вид ставки, сетевая организация вправе самостоятельно выбрать ставку и произвести расчет размера платы за технологич</w:t>
      </w:r>
      <w:r w:rsidRPr="00AC58C9">
        <w:rPr>
          <w:sz w:val="26"/>
          <w:szCs w:val="26"/>
        </w:rPr>
        <w:t>е</w:t>
      </w:r>
      <w:r w:rsidRPr="00AC58C9">
        <w:rPr>
          <w:sz w:val="26"/>
          <w:szCs w:val="26"/>
        </w:rPr>
        <w:t>ское присоединение.</w:t>
      </w:r>
    </w:p>
    <w:p w:rsidR="00BC292C" w:rsidRDefault="00BC292C" w:rsidP="00BC292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BC292C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autoHyphenation/>
  <w:characterSpacingControl w:val="doNotCompress"/>
  <w:compat/>
  <w:rsids>
    <w:rsidRoot w:val="0052524F"/>
    <w:rsid w:val="002D4246"/>
    <w:rsid w:val="005147DF"/>
    <w:rsid w:val="0052524F"/>
    <w:rsid w:val="00B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</cp:revision>
  <dcterms:created xsi:type="dcterms:W3CDTF">2016-02-10T07:33:00Z</dcterms:created>
  <dcterms:modified xsi:type="dcterms:W3CDTF">2017-01-09T10:25:00Z</dcterms:modified>
</cp:coreProperties>
</file>